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27" w:rsidRDefault="00305B27" w:rsidP="00305B27">
      <w:pPr>
        <w:jc w:val="center"/>
        <w:rPr>
          <w:b/>
          <w:sz w:val="28"/>
        </w:rPr>
      </w:pPr>
      <w:r w:rsidRPr="00CC21A1">
        <w:rPr>
          <w:b/>
          <w:sz w:val="28"/>
        </w:rPr>
        <w:t>Анализ результатов диагностики</w:t>
      </w:r>
      <w:r>
        <w:rPr>
          <w:b/>
          <w:sz w:val="28"/>
        </w:rPr>
        <w:t xml:space="preserve"> </w:t>
      </w:r>
      <w:r>
        <w:rPr>
          <w:b/>
          <w:sz w:val="28"/>
        </w:rPr>
        <w:br/>
      </w:r>
      <w:r w:rsidRPr="00CC21A1">
        <w:rPr>
          <w:sz w:val="28"/>
        </w:rPr>
        <w:t xml:space="preserve"> </w:t>
      </w:r>
      <w:r w:rsidRPr="00DC45A7">
        <w:rPr>
          <w:b/>
          <w:sz w:val="28"/>
        </w:rPr>
        <w:t>«Компетен</w:t>
      </w:r>
      <w:r>
        <w:rPr>
          <w:b/>
          <w:sz w:val="28"/>
        </w:rPr>
        <w:t>тность</w:t>
      </w:r>
      <w:r w:rsidRPr="00DC45A7">
        <w:rPr>
          <w:b/>
          <w:sz w:val="28"/>
        </w:rPr>
        <w:t xml:space="preserve"> учителя по формированию функциональной грамотности обучающихся»</w:t>
      </w:r>
      <w:r w:rsidRPr="005A4594">
        <w:rPr>
          <w:b/>
          <w:sz w:val="28"/>
        </w:rPr>
        <w:t xml:space="preserve"> </w:t>
      </w:r>
    </w:p>
    <w:p w:rsidR="00305B27" w:rsidRDefault="00305B27" w:rsidP="00305B27">
      <w:pPr>
        <w:tabs>
          <w:tab w:val="left" w:pos="2580"/>
        </w:tabs>
        <w:rPr>
          <w:sz w:val="28"/>
        </w:rPr>
      </w:pPr>
    </w:p>
    <w:p w:rsidR="00D163DB" w:rsidRPr="00305B27" w:rsidRDefault="00305B27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71163BCF" wp14:editId="7D016005">
            <wp:simplePos x="0" y="0"/>
            <wp:positionH relativeFrom="column">
              <wp:posOffset>394335</wp:posOffset>
            </wp:positionH>
            <wp:positionV relativeFrom="paragraph">
              <wp:posOffset>231775</wp:posOffset>
            </wp:positionV>
            <wp:extent cx="9086850" cy="35814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1F8" w:rsidRPr="00305B27">
        <w:rPr>
          <w:sz w:val="28"/>
        </w:rPr>
        <w:br w:type="page"/>
      </w:r>
    </w:p>
    <w:p w:rsidR="000945CF" w:rsidRDefault="006B09E5">
      <w:pPr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 wp14:anchorId="59D1504E" wp14:editId="4E02A9D6">
            <wp:extent cx="9363075" cy="40862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63DB" w:rsidRPr="000A0618" w:rsidRDefault="00D163DB" w:rsidP="00D163DB">
      <w:pPr>
        <w:spacing w:after="0"/>
        <w:jc w:val="both"/>
        <w:rPr>
          <w:b/>
          <w:sz w:val="28"/>
        </w:rPr>
      </w:pPr>
      <w:r w:rsidRPr="000A0618">
        <w:rPr>
          <w:b/>
          <w:sz w:val="28"/>
        </w:rPr>
        <w:t>Выводы:</w:t>
      </w:r>
    </w:p>
    <w:p w:rsidR="00D163DB" w:rsidRDefault="00235C42" w:rsidP="00D163DB">
      <w:pPr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Анализ результатов диагностики  показал, что </w:t>
      </w:r>
      <w:r w:rsidR="00D163DB" w:rsidRPr="003E61F8">
        <w:rPr>
          <w:b/>
          <w:sz w:val="28"/>
        </w:rPr>
        <w:t>теоретический уровень</w:t>
      </w:r>
      <w:r w:rsidR="00D163DB" w:rsidRPr="005C0289">
        <w:rPr>
          <w:sz w:val="28"/>
        </w:rPr>
        <w:t xml:space="preserve"> знаний учителей дост</w:t>
      </w:r>
      <w:r w:rsidR="00D163DB">
        <w:rPr>
          <w:sz w:val="28"/>
        </w:rPr>
        <w:t>аточно высок</w:t>
      </w:r>
      <w:r>
        <w:rPr>
          <w:sz w:val="28"/>
        </w:rPr>
        <w:t xml:space="preserve"> </w:t>
      </w:r>
      <w:r w:rsidR="00D163DB">
        <w:rPr>
          <w:sz w:val="28"/>
        </w:rPr>
        <w:t xml:space="preserve">и составляет </w:t>
      </w:r>
      <w:r w:rsidR="00D163DB" w:rsidRPr="003E61F8">
        <w:rPr>
          <w:b/>
          <w:sz w:val="28"/>
        </w:rPr>
        <w:t>75%.</w:t>
      </w:r>
      <w:r w:rsidR="00C92E0E">
        <w:rPr>
          <w:b/>
          <w:sz w:val="28"/>
        </w:rPr>
        <w:t xml:space="preserve"> </w:t>
      </w:r>
      <w:r w:rsidR="00E84001" w:rsidRPr="00E84001">
        <w:rPr>
          <w:sz w:val="28"/>
        </w:rPr>
        <w:t>Большинство</w:t>
      </w:r>
      <w:r w:rsidR="00E84001">
        <w:rPr>
          <w:b/>
          <w:sz w:val="28"/>
        </w:rPr>
        <w:t xml:space="preserve"> </w:t>
      </w:r>
      <w:r w:rsidR="00E84001" w:rsidRPr="00E84001">
        <w:rPr>
          <w:sz w:val="28"/>
        </w:rPr>
        <w:t>педагогов</w:t>
      </w:r>
      <w:r w:rsidR="00A84D1E">
        <w:rPr>
          <w:sz w:val="28"/>
        </w:rPr>
        <w:t xml:space="preserve"> продемонстрировали</w:t>
      </w:r>
      <w:r w:rsidR="00E84001">
        <w:rPr>
          <w:b/>
          <w:sz w:val="28"/>
        </w:rPr>
        <w:t xml:space="preserve"> </w:t>
      </w:r>
      <w:r w:rsidR="00A84D1E" w:rsidRPr="00A84D1E">
        <w:rPr>
          <w:sz w:val="28"/>
        </w:rPr>
        <w:t>понимание понятия</w:t>
      </w:r>
      <w:r w:rsidR="00A84D1E">
        <w:rPr>
          <w:b/>
          <w:sz w:val="28"/>
        </w:rPr>
        <w:t xml:space="preserve"> </w:t>
      </w:r>
      <w:r w:rsidR="00A84D1E">
        <w:rPr>
          <w:sz w:val="28"/>
        </w:rPr>
        <w:t xml:space="preserve">функциональной грамотности. </w:t>
      </w:r>
      <w:r w:rsidR="001D11A0">
        <w:rPr>
          <w:sz w:val="28"/>
        </w:rPr>
        <w:t xml:space="preserve">Однако у небольшой части педагогов остались </w:t>
      </w:r>
      <w:r w:rsidR="00F47A8C">
        <w:rPr>
          <w:sz w:val="28"/>
        </w:rPr>
        <w:t>затруднени</w:t>
      </w:r>
      <w:r w:rsidR="001D11A0">
        <w:rPr>
          <w:sz w:val="28"/>
        </w:rPr>
        <w:t>я,</w:t>
      </w:r>
      <w:r w:rsidR="00F47A8C">
        <w:rPr>
          <w:sz w:val="28"/>
        </w:rPr>
        <w:t xml:space="preserve"> связан</w:t>
      </w:r>
      <w:r w:rsidR="001D11A0">
        <w:rPr>
          <w:sz w:val="28"/>
        </w:rPr>
        <w:t>ные</w:t>
      </w:r>
      <w:r>
        <w:rPr>
          <w:sz w:val="28"/>
        </w:rPr>
        <w:t xml:space="preserve"> с определение</w:t>
      </w:r>
      <w:r w:rsidR="001D11A0">
        <w:rPr>
          <w:sz w:val="28"/>
        </w:rPr>
        <w:t>м</w:t>
      </w:r>
      <w:r w:rsidR="00A84D1E">
        <w:rPr>
          <w:sz w:val="28"/>
        </w:rPr>
        <w:t xml:space="preserve"> видов ФГ, компетенций, входящих в понятие читательской грамотности и </w:t>
      </w:r>
      <w:r w:rsidR="004D7BBB">
        <w:rPr>
          <w:sz w:val="28"/>
        </w:rPr>
        <w:t>особенностей заданий, способствующих формированию ФГ.</w:t>
      </w:r>
      <w:r>
        <w:rPr>
          <w:sz w:val="28"/>
        </w:rPr>
        <w:t xml:space="preserve"> Данным вопросам следует ещё раз уделить внимание при организации методической работы, как на муниципальном уровне, так и на уровне ООО.</w:t>
      </w:r>
    </w:p>
    <w:p w:rsidR="00C92E0E" w:rsidRPr="001D11A0" w:rsidRDefault="00D163DB" w:rsidP="001D11A0">
      <w:pPr>
        <w:spacing w:after="0"/>
        <w:ind w:firstLine="567"/>
        <w:rPr>
          <w:b/>
          <w:sz w:val="28"/>
        </w:rPr>
      </w:pPr>
      <w:r w:rsidRPr="005C0289">
        <w:rPr>
          <w:sz w:val="28"/>
        </w:rPr>
        <w:lastRenderedPageBreak/>
        <w:t xml:space="preserve"> </w:t>
      </w:r>
      <w:r w:rsidR="00F47A8C">
        <w:rPr>
          <w:sz w:val="28"/>
        </w:rPr>
        <w:t>В ходе ан</w:t>
      </w:r>
      <w:r w:rsidR="001D11A0">
        <w:rPr>
          <w:sz w:val="28"/>
        </w:rPr>
        <w:t xml:space="preserve">ализа результатов  диагностики </w:t>
      </w:r>
      <w:r w:rsidR="00F47A8C">
        <w:rPr>
          <w:sz w:val="28"/>
        </w:rPr>
        <w:t xml:space="preserve">было выявлено, что </w:t>
      </w:r>
      <w:r w:rsidRPr="003E61F8">
        <w:rPr>
          <w:b/>
          <w:sz w:val="28"/>
        </w:rPr>
        <w:t>92%</w:t>
      </w:r>
      <w:r w:rsidRPr="005C0289">
        <w:rPr>
          <w:sz w:val="28"/>
        </w:rPr>
        <w:t xml:space="preserve"> учителей имеют </w:t>
      </w:r>
      <w:r w:rsidRPr="003E61F8">
        <w:rPr>
          <w:b/>
          <w:sz w:val="28"/>
        </w:rPr>
        <w:t>достаточный уровень понимания способов формирования ФГ</w:t>
      </w:r>
      <w:r>
        <w:rPr>
          <w:sz w:val="28"/>
        </w:rPr>
        <w:t>: они набрали более 12 </w:t>
      </w:r>
      <w:r w:rsidRPr="005C0289">
        <w:rPr>
          <w:sz w:val="28"/>
        </w:rPr>
        <w:t xml:space="preserve">баллов за задания практического блока. </w:t>
      </w:r>
      <w:r w:rsidR="001D11A0" w:rsidRPr="005C0289">
        <w:rPr>
          <w:sz w:val="28"/>
        </w:rPr>
        <w:t xml:space="preserve">Задания практического блока, вызвавшие затруднения, касаются вопросов </w:t>
      </w:r>
      <w:r w:rsidR="001D11A0">
        <w:rPr>
          <w:sz w:val="28"/>
        </w:rPr>
        <w:t xml:space="preserve">формирования </w:t>
      </w:r>
      <w:r w:rsidR="001D11A0" w:rsidRPr="005C0289">
        <w:rPr>
          <w:sz w:val="28"/>
        </w:rPr>
        <w:t>ЕНГ и МГ.</w:t>
      </w:r>
    </w:p>
    <w:p w:rsidR="00D163DB" w:rsidRDefault="001D11A0" w:rsidP="001D11A0">
      <w:pPr>
        <w:spacing w:after="0"/>
        <w:ind w:firstLine="567"/>
        <w:rPr>
          <w:sz w:val="28"/>
        </w:rPr>
      </w:pPr>
      <w:r>
        <w:rPr>
          <w:sz w:val="28"/>
        </w:rPr>
        <w:t>В целом у</w:t>
      </w:r>
      <w:r w:rsidRPr="001D11A0">
        <w:rPr>
          <w:sz w:val="28"/>
        </w:rPr>
        <w:t xml:space="preserve"> </w:t>
      </w:r>
      <w:r w:rsidRPr="001D11A0">
        <w:rPr>
          <w:b/>
          <w:sz w:val="28"/>
        </w:rPr>
        <w:t>90%</w:t>
      </w:r>
      <w:r w:rsidRPr="001D11A0">
        <w:rPr>
          <w:sz w:val="28"/>
        </w:rPr>
        <w:t xml:space="preserve"> педагогов, прошедших диагностику</w:t>
      </w:r>
      <w:r>
        <w:rPr>
          <w:sz w:val="28"/>
        </w:rPr>
        <w:t xml:space="preserve">, </w:t>
      </w:r>
      <w:r w:rsidRPr="001D11A0">
        <w:rPr>
          <w:sz w:val="28"/>
        </w:rPr>
        <w:t xml:space="preserve"> </w:t>
      </w:r>
      <w:r>
        <w:rPr>
          <w:sz w:val="28"/>
        </w:rPr>
        <w:t>наблюдается</w:t>
      </w:r>
      <w:r w:rsidRPr="009E536D">
        <w:rPr>
          <w:b/>
          <w:sz w:val="28"/>
        </w:rPr>
        <w:t xml:space="preserve"> </w:t>
      </w:r>
      <w:r w:rsidR="00D163DB" w:rsidRPr="009E536D">
        <w:rPr>
          <w:b/>
          <w:sz w:val="28"/>
        </w:rPr>
        <w:t>высокий</w:t>
      </w:r>
      <w:r w:rsidR="00D163DB">
        <w:rPr>
          <w:sz w:val="28"/>
        </w:rPr>
        <w:t xml:space="preserve"> и </w:t>
      </w:r>
      <w:r w:rsidR="00D163DB" w:rsidRPr="009E536D">
        <w:rPr>
          <w:b/>
          <w:sz w:val="28"/>
        </w:rPr>
        <w:t>повышенный</w:t>
      </w:r>
      <w:r>
        <w:rPr>
          <w:sz w:val="28"/>
        </w:rPr>
        <w:t xml:space="preserve"> уровни</w:t>
      </w:r>
      <w:r w:rsidR="00D163DB">
        <w:rPr>
          <w:sz w:val="28"/>
        </w:rPr>
        <w:t xml:space="preserve"> </w:t>
      </w:r>
      <w:r>
        <w:rPr>
          <w:sz w:val="28"/>
        </w:rPr>
        <w:t>профессиональной компетентности по формированию ФГ</w:t>
      </w:r>
      <w:r w:rsidR="00D163DB">
        <w:rPr>
          <w:sz w:val="28"/>
        </w:rPr>
        <w:t xml:space="preserve">, </w:t>
      </w:r>
      <w:r w:rsidR="00D163DB" w:rsidRPr="005C0289">
        <w:rPr>
          <w:b/>
          <w:sz w:val="28"/>
        </w:rPr>
        <w:t>средний</w:t>
      </w:r>
      <w:r w:rsidR="00D163DB" w:rsidRPr="005C0289">
        <w:rPr>
          <w:sz w:val="28"/>
        </w:rPr>
        <w:t xml:space="preserve"> уровень</w:t>
      </w:r>
      <w:r>
        <w:rPr>
          <w:sz w:val="28"/>
        </w:rPr>
        <w:t xml:space="preserve"> —</w:t>
      </w:r>
      <w:r w:rsidR="00D163DB">
        <w:rPr>
          <w:sz w:val="28"/>
        </w:rPr>
        <w:t xml:space="preserve">  у </w:t>
      </w:r>
      <w:r w:rsidR="00D163DB" w:rsidRPr="009E536D">
        <w:rPr>
          <w:b/>
          <w:sz w:val="28"/>
        </w:rPr>
        <w:t>9 %</w:t>
      </w:r>
      <w:r w:rsidR="00D163DB" w:rsidRPr="005C0289">
        <w:rPr>
          <w:sz w:val="28"/>
        </w:rPr>
        <w:t xml:space="preserve">, и только лишь </w:t>
      </w:r>
      <w:r w:rsidR="00D163DB" w:rsidRPr="009E536D">
        <w:rPr>
          <w:b/>
          <w:sz w:val="28"/>
        </w:rPr>
        <w:t>1%</w:t>
      </w:r>
      <w:r w:rsidR="00D163DB" w:rsidRPr="005C0289">
        <w:rPr>
          <w:sz w:val="28"/>
        </w:rPr>
        <w:t xml:space="preserve"> учителей проявили </w:t>
      </w:r>
      <w:r w:rsidR="00D163DB" w:rsidRPr="005C0289">
        <w:rPr>
          <w:b/>
          <w:sz w:val="28"/>
        </w:rPr>
        <w:t>низкий</w:t>
      </w:r>
      <w:r w:rsidR="00D163DB" w:rsidRPr="005C0289">
        <w:rPr>
          <w:sz w:val="28"/>
        </w:rPr>
        <w:t xml:space="preserve"> уровень компетентности.</w:t>
      </w:r>
    </w:p>
    <w:p w:rsidR="00CD4EFF" w:rsidRDefault="009E536D" w:rsidP="001B3D7B">
      <w:pPr>
        <w:spacing w:after="0"/>
        <w:ind w:firstLine="567"/>
        <w:jc w:val="both"/>
        <w:rPr>
          <w:b/>
          <w:sz w:val="28"/>
        </w:rPr>
      </w:pPr>
      <w:r>
        <w:rPr>
          <w:sz w:val="28"/>
        </w:rPr>
        <w:t>По результатам сравнительного анализа</w:t>
      </w:r>
      <w:r w:rsidR="001D11A0">
        <w:rPr>
          <w:sz w:val="28"/>
        </w:rPr>
        <w:t xml:space="preserve"> результатов диагностики </w:t>
      </w:r>
      <w:r>
        <w:rPr>
          <w:sz w:val="28"/>
        </w:rPr>
        <w:t>с</w:t>
      </w:r>
      <w:r w:rsidR="000945CF">
        <w:rPr>
          <w:sz w:val="28"/>
        </w:rPr>
        <w:t>тоит отметить</w:t>
      </w:r>
      <w:r w:rsidR="00830171">
        <w:rPr>
          <w:sz w:val="28"/>
        </w:rPr>
        <w:t xml:space="preserve">, </w:t>
      </w:r>
      <w:r w:rsidR="000945CF">
        <w:rPr>
          <w:sz w:val="28"/>
        </w:rPr>
        <w:t>что педагоги начальной школы показали более высокие результаты</w:t>
      </w:r>
      <w:r w:rsidR="00830171">
        <w:rPr>
          <w:sz w:val="28"/>
        </w:rPr>
        <w:t xml:space="preserve">, нежели учителя основного и среднего уровней образования. Так высокий и повышенный уровни компетентности проявили 97% учителей начальной школы, что на 13% больше, чем у педагогов основного и среднего звена. Кроме того, среди учителей начальной школы отсутствуют </w:t>
      </w:r>
      <w:r w:rsidR="00270402">
        <w:rPr>
          <w:sz w:val="28"/>
        </w:rPr>
        <w:t>те, кто проявил низкий уровень компетентности. Следовательно, методическая работа с учителями начальной школы велась более эффективно.</w:t>
      </w:r>
      <w:r w:rsidR="00690DF5">
        <w:rPr>
          <w:b/>
          <w:sz w:val="28"/>
        </w:rPr>
        <w:br w:type="page"/>
      </w:r>
    </w:p>
    <w:p w:rsidR="00BD230A" w:rsidRDefault="00BD230A" w:rsidP="00C53074">
      <w:pPr>
        <w:spacing w:after="0"/>
        <w:jc w:val="center"/>
        <w:rPr>
          <w:b/>
          <w:sz w:val="28"/>
        </w:rPr>
      </w:pPr>
      <w:r w:rsidRPr="009C66E8">
        <w:rPr>
          <w:b/>
          <w:sz w:val="28"/>
        </w:rPr>
        <w:lastRenderedPageBreak/>
        <w:t xml:space="preserve">Сравнительный анализ </w:t>
      </w:r>
      <w:proofErr w:type="gramStart"/>
      <w:r w:rsidRPr="009C66E8">
        <w:rPr>
          <w:b/>
          <w:sz w:val="28"/>
        </w:rPr>
        <w:t>резуль</w:t>
      </w:r>
      <w:r w:rsidR="00280428" w:rsidRPr="009C66E8">
        <w:rPr>
          <w:b/>
          <w:sz w:val="28"/>
        </w:rPr>
        <w:t>та</w:t>
      </w:r>
      <w:r w:rsidRPr="009C66E8">
        <w:rPr>
          <w:b/>
          <w:sz w:val="28"/>
        </w:rPr>
        <w:t>т</w:t>
      </w:r>
      <w:r w:rsidR="00280428" w:rsidRPr="009C66E8">
        <w:rPr>
          <w:b/>
          <w:sz w:val="28"/>
        </w:rPr>
        <w:t xml:space="preserve">ов </w:t>
      </w:r>
      <w:r w:rsidR="009C66E8" w:rsidRPr="009C66E8">
        <w:rPr>
          <w:b/>
          <w:sz w:val="28"/>
        </w:rPr>
        <w:t>мониторинга</w:t>
      </w:r>
      <w:r w:rsidR="008724DC">
        <w:rPr>
          <w:b/>
          <w:sz w:val="28"/>
        </w:rPr>
        <w:t xml:space="preserve"> уровня профессиональной компетентности педагогов</w:t>
      </w:r>
      <w:proofErr w:type="gramEnd"/>
      <w:r w:rsidR="008724DC">
        <w:rPr>
          <w:b/>
          <w:sz w:val="28"/>
        </w:rPr>
        <w:t xml:space="preserve"> при формировании ФГ</w:t>
      </w:r>
    </w:p>
    <w:p w:rsidR="00960B62" w:rsidRPr="00960B62" w:rsidRDefault="00960B62" w:rsidP="00960B62">
      <w:pPr>
        <w:spacing w:after="0"/>
        <w:jc w:val="center"/>
        <w:rPr>
          <w:sz w:val="28"/>
        </w:rPr>
      </w:pPr>
    </w:p>
    <w:p w:rsidR="001B3D7B" w:rsidRDefault="001B3D7B" w:rsidP="001B3D7B">
      <w:pPr>
        <w:spacing w:after="0"/>
        <w:rPr>
          <w:b/>
          <w:sz w:val="28"/>
        </w:rPr>
      </w:pPr>
      <w:bookmarkStart w:id="0" w:name="_GoBack"/>
      <w:bookmarkEnd w:id="0"/>
    </w:p>
    <w:p w:rsidR="00CC4E0D" w:rsidRDefault="00923651" w:rsidP="00270402">
      <w:pPr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3CC5E25E" wp14:editId="0E8A032C">
            <wp:extent cx="7600950" cy="41052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5805" w:rsidRDefault="00923651" w:rsidP="00F25805">
      <w:pPr>
        <w:jc w:val="center"/>
        <w:rPr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 wp14:anchorId="47D737E8" wp14:editId="26889A52">
            <wp:extent cx="760095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5805" w:rsidRDefault="00F25805" w:rsidP="00F25805">
      <w:pPr>
        <w:spacing w:after="0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Вывод: </w:t>
      </w:r>
    </w:p>
    <w:p w:rsidR="00DF6DB9" w:rsidRDefault="00F25805" w:rsidP="00DF6DB9">
      <w:pPr>
        <w:spacing w:after="0"/>
        <w:ind w:firstLine="567"/>
        <w:jc w:val="both"/>
        <w:rPr>
          <w:sz w:val="28"/>
        </w:rPr>
      </w:pPr>
      <w:r>
        <w:rPr>
          <w:sz w:val="28"/>
        </w:rPr>
        <w:t>С</w:t>
      </w:r>
      <w:r w:rsidRPr="001B3D7B">
        <w:rPr>
          <w:sz w:val="28"/>
        </w:rPr>
        <w:t>равнительный анализ результатов диагностики</w:t>
      </w:r>
      <w:r>
        <w:rPr>
          <w:sz w:val="28"/>
        </w:rPr>
        <w:t xml:space="preserve">, проводимой в октябре 2021 года и диагностики, проводимой в феврале 2020 года,  позволяет сделать вывод о </w:t>
      </w:r>
      <w:r w:rsidRPr="00DF6DB9">
        <w:rPr>
          <w:b/>
          <w:sz w:val="28"/>
        </w:rPr>
        <w:t>положительной динамике</w:t>
      </w:r>
      <w:r>
        <w:rPr>
          <w:sz w:val="28"/>
        </w:rPr>
        <w:t xml:space="preserve"> </w:t>
      </w:r>
      <w:r w:rsidRPr="00DF6DB9">
        <w:rPr>
          <w:b/>
          <w:sz w:val="28"/>
        </w:rPr>
        <w:t xml:space="preserve">сформированности профессиональной компетентности педагогов </w:t>
      </w:r>
      <w:r w:rsidR="00DF6DB9">
        <w:rPr>
          <w:sz w:val="28"/>
        </w:rPr>
        <w:t>по формированию ФГ.</w:t>
      </w:r>
    </w:p>
    <w:p w:rsidR="009C66E8" w:rsidRPr="00F25805" w:rsidRDefault="00F25805" w:rsidP="00DF6DB9">
      <w:pPr>
        <w:spacing w:after="0"/>
        <w:ind w:firstLine="567"/>
        <w:jc w:val="both"/>
        <w:rPr>
          <w:b/>
          <w:sz w:val="28"/>
        </w:rPr>
      </w:pPr>
      <w:r>
        <w:rPr>
          <w:sz w:val="28"/>
        </w:rPr>
        <w:t>Уровень теоретической подготовки повысился у 50 % педагогов,  уровень понимания способов формирования ФГ обучающихся</w:t>
      </w:r>
      <w:r w:rsidR="00DF6DB9">
        <w:rPr>
          <w:sz w:val="28"/>
        </w:rPr>
        <w:t xml:space="preserve"> повысился у 65% учителей, принимавших участие в диагностике. Таким образом, достаточный уровень теоретической подготовки наблюдается у 75 %, а достаточный уровень понимания способов формирования ФГ  у  92%. Недостаточный уровень понимания способов формирования ФГ наблюдается лишь у 8%, тогда как недостаточный уровень теоретической подготовки выявлен у 25% педагогов.</w:t>
      </w:r>
    </w:p>
    <w:sectPr w:rsidR="009C66E8" w:rsidRPr="00F25805" w:rsidSect="000A0618">
      <w:pgSz w:w="16838" w:h="11906" w:orient="landscape"/>
      <w:pgMar w:top="1135" w:right="99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14F"/>
    <w:multiLevelType w:val="hybridMultilevel"/>
    <w:tmpl w:val="459253DE"/>
    <w:lvl w:ilvl="0" w:tplc="5D2AA1DC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4647B"/>
    <w:multiLevelType w:val="hybridMultilevel"/>
    <w:tmpl w:val="2C34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6D67"/>
    <w:multiLevelType w:val="hybridMultilevel"/>
    <w:tmpl w:val="F5546184"/>
    <w:lvl w:ilvl="0" w:tplc="5D2AA1DC">
      <w:start w:val="1"/>
      <w:numFmt w:val="russianUpper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9C2C26"/>
    <w:multiLevelType w:val="hybridMultilevel"/>
    <w:tmpl w:val="572E0AA0"/>
    <w:lvl w:ilvl="0" w:tplc="FAEA8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60B77"/>
    <w:multiLevelType w:val="hybridMultilevel"/>
    <w:tmpl w:val="EC7022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12D09AA"/>
    <w:multiLevelType w:val="hybridMultilevel"/>
    <w:tmpl w:val="F286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64"/>
    <w:rsid w:val="00037F8B"/>
    <w:rsid w:val="000945CF"/>
    <w:rsid w:val="000A0618"/>
    <w:rsid w:val="000B20C3"/>
    <w:rsid w:val="000B471F"/>
    <w:rsid w:val="001B3D7B"/>
    <w:rsid w:val="001B69A6"/>
    <w:rsid w:val="001D11A0"/>
    <w:rsid w:val="001F54B4"/>
    <w:rsid w:val="00227F64"/>
    <w:rsid w:val="00235C42"/>
    <w:rsid w:val="00270402"/>
    <w:rsid w:val="00280428"/>
    <w:rsid w:val="002F4AC1"/>
    <w:rsid w:val="00305B27"/>
    <w:rsid w:val="0031722B"/>
    <w:rsid w:val="003402A2"/>
    <w:rsid w:val="003E61F8"/>
    <w:rsid w:val="004A7BDF"/>
    <w:rsid w:val="004D7BBB"/>
    <w:rsid w:val="00517846"/>
    <w:rsid w:val="00532CDC"/>
    <w:rsid w:val="005A695A"/>
    <w:rsid w:val="005C0289"/>
    <w:rsid w:val="005D685A"/>
    <w:rsid w:val="00690DF5"/>
    <w:rsid w:val="006B09E5"/>
    <w:rsid w:val="00723E04"/>
    <w:rsid w:val="00786982"/>
    <w:rsid w:val="007D7E68"/>
    <w:rsid w:val="00811385"/>
    <w:rsid w:val="00830171"/>
    <w:rsid w:val="008724DC"/>
    <w:rsid w:val="00895A2C"/>
    <w:rsid w:val="008F1178"/>
    <w:rsid w:val="00923651"/>
    <w:rsid w:val="0094029B"/>
    <w:rsid w:val="00960B62"/>
    <w:rsid w:val="009B44F9"/>
    <w:rsid w:val="009C66E8"/>
    <w:rsid w:val="009E536D"/>
    <w:rsid w:val="00A67008"/>
    <w:rsid w:val="00A76ABE"/>
    <w:rsid w:val="00A84D1E"/>
    <w:rsid w:val="00AB40D0"/>
    <w:rsid w:val="00B61916"/>
    <w:rsid w:val="00BA6228"/>
    <w:rsid w:val="00BD230A"/>
    <w:rsid w:val="00BD4154"/>
    <w:rsid w:val="00BF2136"/>
    <w:rsid w:val="00C4793E"/>
    <w:rsid w:val="00C53074"/>
    <w:rsid w:val="00C76F6F"/>
    <w:rsid w:val="00C92E0E"/>
    <w:rsid w:val="00CC21A1"/>
    <w:rsid w:val="00CC4E0D"/>
    <w:rsid w:val="00CD4EFF"/>
    <w:rsid w:val="00D163DB"/>
    <w:rsid w:val="00D34384"/>
    <w:rsid w:val="00D35E96"/>
    <w:rsid w:val="00DB7947"/>
    <w:rsid w:val="00DF0E1E"/>
    <w:rsid w:val="00DF6DB9"/>
    <w:rsid w:val="00E2575F"/>
    <w:rsid w:val="00E359B7"/>
    <w:rsid w:val="00E8357A"/>
    <w:rsid w:val="00E84001"/>
    <w:rsid w:val="00EB3508"/>
    <w:rsid w:val="00EE5C41"/>
    <w:rsid w:val="00EE6BE1"/>
    <w:rsid w:val="00F25805"/>
    <w:rsid w:val="00F47A8C"/>
    <w:rsid w:val="00F8415D"/>
    <w:rsid w:val="00FC1E69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074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69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074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69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Уровни</a:t>
            </a:r>
            <a:r>
              <a:rPr lang="ru-RU" sz="1600" baseline="0"/>
              <a:t> профкомпетентности педагогов </a:t>
            </a:r>
            <a:r>
              <a:rPr lang="ru-RU" sz="1600"/>
              <a:t>г.</a:t>
            </a:r>
            <a:r>
              <a:rPr lang="ru-RU" sz="1600" baseline="0"/>
              <a:t> </a:t>
            </a:r>
            <a:r>
              <a:rPr lang="ru-RU" sz="1600"/>
              <a:t>Переславля-Залесского по</a:t>
            </a:r>
            <a:r>
              <a:rPr lang="ru-RU" sz="1600" b="1" i="0" u="none" strike="noStrike" baseline="0">
                <a:effectLst/>
              </a:rPr>
              <a:t> формированию функциональной грамотности обучающихся</a:t>
            </a:r>
            <a:r>
              <a:rPr lang="ru-RU" sz="1600"/>
              <a:t>  </a:t>
            </a:r>
          </a:p>
        </c:rich>
      </c:tx>
      <c:layout>
        <c:manualLayout>
          <c:xMode val="edge"/>
          <c:yMode val="edge"/>
          <c:x val="0.15834848888163788"/>
          <c:y val="2.137278294758609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066387141858839E-2"/>
          <c:y val="0.20262160049142794"/>
          <c:w val="0.72397827630036815"/>
          <c:h val="0.665985353229447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педагогов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Повышенный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0.56000000000000005</c:v>
                </c:pt>
                <c:pt idx="2">
                  <c:v>0.09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8336000"/>
        <c:axId val="194018304"/>
        <c:axId val="0"/>
      </c:bar3DChart>
      <c:catAx>
        <c:axId val="1883360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94018304"/>
        <c:crosses val="autoZero"/>
        <c:auto val="1"/>
        <c:lblAlgn val="ctr"/>
        <c:lblOffset val="100"/>
        <c:noMultiLvlLbl val="0"/>
      </c:catAx>
      <c:valAx>
        <c:axId val="194018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8336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128449352635954"/>
          <c:y val="0.42266683419891665"/>
          <c:w val="0.21032976223883965"/>
          <c:h val="0.32509186351706038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aseline="0"/>
              <a:t>Результаты диагностики профкомпетентности педагогов  </a:t>
            </a:r>
            <a:r>
              <a:rPr lang="ru-RU" sz="1600"/>
              <a:t>г.</a:t>
            </a:r>
            <a:r>
              <a:rPr lang="ru-RU" sz="1600" baseline="0"/>
              <a:t> </a:t>
            </a:r>
            <a:r>
              <a:rPr lang="ru-RU" sz="1600"/>
              <a:t>Переславля-Залесского по</a:t>
            </a:r>
            <a:r>
              <a:rPr lang="ru-RU" sz="1600" b="1" i="0" u="none" strike="noStrike" baseline="0">
                <a:effectLst/>
              </a:rPr>
              <a:t> формированию функциональной грамотности обучающихся</a:t>
            </a:r>
            <a:r>
              <a:rPr lang="ru-RU" sz="1600"/>
              <a:t>  </a:t>
            </a:r>
          </a:p>
        </c:rich>
      </c:tx>
      <c:layout>
        <c:manualLayout>
          <c:xMode val="edge"/>
          <c:yMode val="edge"/>
          <c:x val="0.16707264223551002"/>
          <c:y val="1.826484018264840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078265026032053E-2"/>
          <c:y val="0.19907543025653263"/>
          <c:w val="0.68624242580364481"/>
          <c:h val="0.665985353229447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Учителя начальной школы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Повышенный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0.44</c:v>
                </c:pt>
                <c:pt idx="1">
                  <c:v>0.53</c:v>
                </c:pt>
                <c:pt idx="2">
                  <c:v>0.03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Учителя основного и среднего уровней образоваия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Повышенный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0.55000000000000004</c:v>
                </c:pt>
                <c:pt idx="2">
                  <c:v>0.14000000000000001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2907776"/>
        <c:axId val="96452608"/>
        <c:axId val="0"/>
      </c:bar3DChart>
      <c:catAx>
        <c:axId val="92907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6452608"/>
        <c:crosses val="autoZero"/>
        <c:auto val="1"/>
        <c:lblAlgn val="ctr"/>
        <c:lblOffset val="100"/>
        <c:noMultiLvlLbl val="0"/>
      </c:catAx>
      <c:valAx>
        <c:axId val="964526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2907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886085804159974"/>
          <c:y val="0.458467901302547"/>
          <c:w val="0.24241504163124647"/>
          <c:h val="0.36573708006778871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aseline="0"/>
              <a:t>Сравнительный анализ уровня теоретической подготовки педагогов</a:t>
            </a:r>
            <a:br>
              <a:rPr lang="ru-RU" sz="1200" baseline="0"/>
            </a:br>
            <a:r>
              <a:rPr lang="ru-RU" sz="1200"/>
              <a:t>по</a:t>
            </a:r>
            <a:r>
              <a:rPr lang="ru-RU" sz="1200" b="1" i="0" u="none" strike="noStrike" baseline="0">
                <a:effectLst/>
              </a:rPr>
              <a:t> формированию функциональной грамотности обучающихся</a:t>
            </a:r>
            <a:r>
              <a:rPr lang="ru-RU" sz="1200"/>
              <a:t>  </a:t>
            </a:r>
          </a:p>
        </c:rich>
      </c:tx>
      <c:layout>
        <c:manualLayout>
          <c:xMode val="edge"/>
          <c:yMode val="edge"/>
          <c:x val="0.16707264223551002"/>
          <c:y val="1.826484018264840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8078265026032053E-2"/>
          <c:y val="0.19907543025653263"/>
          <c:w val="0.72801347200021049"/>
          <c:h val="0.665985353229447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2020 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Доля педагогов, проявивших достаточный уровень </c:v>
                </c:pt>
                <c:pt idx="1">
                  <c:v>Доля педагогов, проявивших недостаточный уровень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0.25</c:v>
                </c:pt>
                <c:pt idx="1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2021 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Доля педагогов, проявивших достаточный уровень </c:v>
                </c:pt>
                <c:pt idx="1">
                  <c:v>Доля педагогов, проявивших недостаточный уровень 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6118272"/>
        <c:axId val="136120576"/>
      </c:barChart>
      <c:catAx>
        <c:axId val="136118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6120576"/>
        <c:crosses val="autoZero"/>
        <c:auto val="1"/>
        <c:lblAlgn val="ctr"/>
        <c:lblOffset val="100"/>
        <c:noMultiLvlLbl val="0"/>
      </c:catAx>
      <c:valAx>
        <c:axId val="136120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6118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31097602436996"/>
          <c:y val="0.45846798853113657"/>
          <c:w val="0.16619896197185879"/>
          <c:h val="0.126858736625439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aseline="0"/>
              <a:t>Сравнительный анализ </a:t>
            </a:r>
            <a:r>
              <a:rPr lang="ru-RU" sz="1200" b="1" i="0" u="none" strike="noStrike" baseline="0">
                <a:effectLst/>
              </a:rPr>
              <a:t>уровня понимания способов формирования функциональной грамотности обучающихся</a:t>
            </a:r>
            <a:r>
              <a:rPr lang="ru-RU" sz="1200"/>
              <a:t>  </a:t>
            </a:r>
          </a:p>
        </c:rich>
      </c:tx>
      <c:layout>
        <c:manualLayout>
          <c:xMode val="edge"/>
          <c:yMode val="edge"/>
          <c:x val="0.16707264223551002"/>
          <c:y val="1.826484018264840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8078265026032053E-2"/>
          <c:y val="0.19907543025653263"/>
          <c:w val="0.68624242580364481"/>
          <c:h val="0.665985353229447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2020 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Достаточный уровень </c:v>
                </c:pt>
                <c:pt idx="1">
                  <c:v>Недостаточный уровень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0.27</c:v>
                </c:pt>
                <c:pt idx="1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2021 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Достаточный уровень </c:v>
                </c:pt>
                <c:pt idx="1">
                  <c:v>Недостаточный уровень 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3787904"/>
        <c:axId val="143815040"/>
      </c:barChart>
      <c:catAx>
        <c:axId val="1437879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43815040"/>
        <c:crosses val="autoZero"/>
        <c:auto val="1"/>
        <c:lblAlgn val="ctr"/>
        <c:lblOffset val="100"/>
        <c:noMultiLvlLbl val="0"/>
      </c:catAx>
      <c:valAx>
        <c:axId val="143815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3787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052753171478563"/>
          <c:y val="0.41481721034870639"/>
          <c:w val="0.16619896197185879"/>
          <c:h val="0.16272653418322708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5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2021-09-22T13:25:00Z</dcterms:created>
  <dcterms:modified xsi:type="dcterms:W3CDTF">2022-01-28T12:05:00Z</dcterms:modified>
</cp:coreProperties>
</file>