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3209" w14:textId="77777777" w:rsidR="009E7133" w:rsidRDefault="009E7133" w:rsidP="009E7133">
      <w:pPr>
        <w:pStyle w:val="Default"/>
        <w:jc w:val="center"/>
        <w:rPr>
          <w:b/>
          <w:color w:val="auto"/>
          <w:sz w:val="28"/>
          <w:szCs w:val="28"/>
        </w:rPr>
      </w:pPr>
      <w:r w:rsidRPr="001D4431">
        <w:rPr>
          <w:b/>
          <w:color w:val="auto"/>
          <w:sz w:val="28"/>
          <w:szCs w:val="28"/>
        </w:rPr>
        <w:t>Сравнительный анализ результатов диагностических работ по оценке</w:t>
      </w:r>
      <w:r w:rsidRPr="001D4431"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математической</w:t>
      </w:r>
      <w:r w:rsidRPr="001D4431">
        <w:rPr>
          <w:b/>
          <w:color w:val="auto"/>
          <w:sz w:val="28"/>
          <w:szCs w:val="28"/>
        </w:rPr>
        <w:t xml:space="preserve"> грамотности</w:t>
      </w:r>
      <w:r>
        <w:rPr>
          <w:b/>
          <w:color w:val="auto"/>
          <w:sz w:val="28"/>
          <w:szCs w:val="28"/>
        </w:rPr>
        <w:t xml:space="preserve"> </w:t>
      </w:r>
    </w:p>
    <w:p w14:paraId="46EE6DE4" w14:textId="77777777" w:rsidR="009E7133" w:rsidRPr="001D4431" w:rsidRDefault="009E7133" w:rsidP="009E713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7,8 и 9 классах по компетентностным областям</w:t>
      </w:r>
    </w:p>
    <w:tbl>
      <w:tblPr>
        <w:tblStyle w:val="a3"/>
        <w:tblpPr w:leftFromText="180" w:rightFromText="180" w:vertAnchor="page" w:horzAnchor="margin" w:tblpY="2641"/>
        <w:tblW w:w="14737" w:type="dxa"/>
        <w:tblInd w:w="0" w:type="dxa"/>
        <w:tblLook w:val="04A0" w:firstRow="1" w:lastRow="0" w:firstColumn="1" w:lastColumn="0" w:noHBand="0" w:noVBand="1"/>
      </w:tblPr>
      <w:tblGrid>
        <w:gridCol w:w="4171"/>
        <w:gridCol w:w="1200"/>
        <w:gridCol w:w="1200"/>
        <w:gridCol w:w="1200"/>
        <w:gridCol w:w="1229"/>
        <w:gridCol w:w="1273"/>
        <w:gridCol w:w="1260"/>
        <w:gridCol w:w="3204"/>
      </w:tblGrid>
      <w:tr w:rsidR="00E37713" w:rsidRPr="00B01128" w14:paraId="7F0CF7FC" w14:textId="77777777" w:rsidTr="00E37713">
        <w:tc>
          <w:tcPr>
            <w:tcW w:w="14737" w:type="dxa"/>
            <w:gridSpan w:val="8"/>
          </w:tcPr>
          <w:p w14:paraId="4C5F4CAA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37713" w:rsidRPr="00B01128" w14:paraId="0C48B2F0" w14:textId="77777777" w:rsidTr="00E37713">
        <w:tc>
          <w:tcPr>
            <w:tcW w:w="4171" w:type="dxa"/>
            <w:vMerge w:val="restart"/>
          </w:tcPr>
          <w:p w14:paraId="2F9283C5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</w:t>
            </w:r>
          </w:p>
          <w:p w14:paraId="22D5F4C2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10566" w:type="dxa"/>
            <w:gridSpan w:val="7"/>
          </w:tcPr>
          <w:p w14:paraId="051B884D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от количества обучающихся,</w:t>
            </w: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E37713" w:rsidRPr="00B01128" w14:paraId="40D88C84" w14:textId="77777777" w:rsidTr="00E37713">
        <w:tc>
          <w:tcPr>
            <w:tcW w:w="4171" w:type="dxa"/>
            <w:vMerge/>
          </w:tcPr>
          <w:p w14:paraId="5C05672B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653CF7C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84BB358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200" w:type="dxa"/>
          </w:tcPr>
          <w:p w14:paraId="3B2C1501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252E9FA1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200" w:type="dxa"/>
          </w:tcPr>
          <w:p w14:paraId="08AEBC48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3279D300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229" w:type="dxa"/>
          </w:tcPr>
          <w:p w14:paraId="06A06D5D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53902B67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273" w:type="dxa"/>
          </w:tcPr>
          <w:p w14:paraId="5CDDE51C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47AB4314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1039434A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1260" w:type="dxa"/>
          </w:tcPr>
          <w:p w14:paraId="7FD72C5F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7CCE2514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3204" w:type="dxa"/>
          </w:tcPr>
          <w:p w14:paraId="0B71781D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  <w:p w14:paraId="1B19B027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/Средний </w:t>
            </w:r>
          </w:p>
          <w:p w14:paraId="438783D0" w14:textId="77777777" w:rsidR="00E37713" w:rsidRPr="00B01128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E37713" w:rsidRPr="00B01128" w14:paraId="1CDFD0FC" w14:textId="77777777" w:rsidTr="00E37713">
        <w:tc>
          <w:tcPr>
            <w:tcW w:w="4171" w:type="dxa"/>
          </w:tcPr>
          <w:p w14:paraId="4E938882" w14:textId="77777777" w:rsidR="00E3771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№№1,5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14:paraId="0CE8B3EE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64B56A0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</w:tcPr>
          <w:p w14:paraId="23471590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1200" w:type="dxa"/>
          </w:tcPr>
          <w:p w14:paraId="7912FC31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</w:t>
            </w:r>
          </w:p>
        </w:tc>
        <w:tc>
          <w:tcPr>
            <w:tcW w:w="1229" w:type="dxa"/>
          </w:tcPr>
          <w:p w14:paraId="6861DD8F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14:paraId="0D7D973C" w14:textId="77777777" w:rsidR="00E37713" w:rsidRPr="00271E65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0" w:type="dxa"/>
          </w:tcPr>
          <w:p w14:paraId="261F9BEF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3204" w:type="dxa"/>
          </w:tcPr>
          <w:p w14:paraId="25ADF013" w14:textId="77777777" w:rsidR="00E37713" w:rsidRPr="00B01128" w:rsidRDefault="00E37713" w:rsidP="00E3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37713" w:rsidRPr="00B01128" w14:paraId="60F83E4F" w14:textId="77777777" w:rsidTr="00E37713">
        <w:tc>
          <w:tcPr>
            <w:tcW w:w="4171" w:type="dxa"/>
          </w:tcPr>
          <w:p w14:paraId="51612358" w14:textId="77777777" w:rsidR="00E3771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№3,4</w:t>
            </w:r>
          </w:p>
          <w:p w14:paraId="1695D1F8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A4D942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200" w:type="dxa"/>
          </w:tcPr>
          <w:p w14:paraId="2B2F7B5D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200" w:type="dxa"/>
          </w:tcPr>
          <w:p w14:paraId="579C7613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229" w:type="dxa"/>
          </w:tcPr>
          <w:p w14:paraId="286AA832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273" w:type="dxa"/>
          </w:tcPr>
          <w:p w14:paraId="1EC35238" w14:textId="77777777" w:rsidR="00E37713" w:rsidRPr="00271E65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E65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260" w:type="dxa"/>
          </w:tcPr>
          <w:p w14:paraId="4635EFD5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3204" w:type="dxa"/>
          </w:tcPr>
          <w:p w14:paraId="1E3E8EC8" w14:textId="77777777" w:rsidR="00E37713" w:rsidRPr="00B01128" w:rsidRDefault="00E37713" w:rsidP="00E3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55</w:t>
            </w:r>
          </w:p>
        </w:tc>
      </w:tr>
      <w:tr w:rsidR="00E37713" w:rsidRPr="00B01128" w14:paraId="0C31F579" w14:textId="77777777" w:rsidTr="00E37713">
        <w:tc>
          <w:tcPr>
            <w:tcW w:w="4171" w:type="dxa"/>
          </w:tcPr>
          <w:p w14:paraId="2E7B4A9F" w14:textId="77777777" w:rsidR="00E3771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№№2,7</w:t>
            </w:r>
          </w:p>
          <w:p w14:paraId="4AEA7B25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0831BED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200" w:type="dxa"/>
          </w:tcPr>
          <w:p w14:paraId="60D312A3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200" w:type="dxa"/>
          </w:tcPr>
          <w:p w14:paraId="1C7ED241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229" w:type="dxa"/>
          </w:tcPr>
          <w:p w14:paraId="4854D5B0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12,5</w:t>
            </w:r>
          </w:p>
        </w:tc>
        <w:tc>
          <w:tcPr>
            <w:tcW w:w="1273" w:type="dxa"/>
          </w:tcPr>
          <w:p w14:paraId="7996A51D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47,5</w:t>
            </w:r>
          </w:p>
        </w:tc>
        <w:tc>
          <w:tcPr>
            <w:tcW w:w="1260" w:type="dxa"/>
          </w:tcPr>
          <w:p w14:paraId="2349441F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3204" w:type="dxa"/>
          </w:tcPr>
          <w:p w14:paraId="4CC71308" w14:textId="77777777" w:rsidR="00E37713" w:rsidRPr="00B01128" w:rsidRDefault="00E37713" w:rsidP="00E3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7B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26</w:t>
            </w:r>
          </w:p>
        </w:tc>
      </w:tr>
      <w:tr w:rsidR="00E37713" w:rsidRPr="00B01128" w14:paraId="4DF76C9F" w14:textId="77777777" w:rsidTr="00E37713">
        <w:tc>
          <w:tcPr>
            <w:tcW w:w="4171" w:type="dxa"/>
          </w:tcPr>
          <w:p w14:paraId="73A2D515" w14:textId="77777777" w:rsidR="00E3771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  <w:p w14:paraId="48D57453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FDC6AFF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0" w:type="dxa"/>
          </w:tcPr>
          <w:p w14:paraId="0601801F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1200" w:type="dxa"/>
          </w:tcPr>
          <w:p w14:paraId="029CE3AE" w14:textId="77777777" w:rsidR="00E37713" w:rsidRPr="00084C7B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C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29" w:type="dxa"/>
          </w:tcPr>
          <w:p w14:paraId="57D74973" w14:textId="77777777" w:rsidR="00E37713" w:rsidRPr="00B01128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1273" w:type="dxa"/>
          </w:tcPr>
          <w:p w14:paraId="7929A64E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260" w:type="dxa"/>
          </w:tcPr>
          <w:p w14:paraId="4DDDF3E6" w14:textId="77777777" w:rsidR="00E37713" w:rsidRPr="00EA264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6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57</w:t>
            </w:r>
          </w:p>
        </w:tc>
        <w:tc>
          <w:tcPr>
            <w:tcW w:w="3204" w:type="dxa"/>
          </w:tcPr>
          <w:p w14:paraId="56E2983E" w14:textId="77777777" w:rsidR="00E37713" w:rsidRPr="00B01128" w:rsidRDefault="00E37713" w:rsidP="00E3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2B02D7A2" w14:textId="77777777" w:rsidR="0028424A" w:rsidRDefault="0028424A" w:rsidP="00E377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7202"/>
        <w:tblW w:w="14878" w:type="dxa"/>
        <w:tblLook w:val="04A0" w:firstRow="1" w:lastRow="0" w:firstColumn="1" w:lastColumn="0" w:noHBand="0" w:noVBand="1"/>
      </w:tblPr>
      <w:tblGrid>
        <w:gridCol w:w="2270"/>
        <w:gridCol w:w="653"/>
        <w:gridCol w:w="653"/>
        <w:gridCol w:w="653"/>
        <w:gridCol w:w="653"/>
        <w:gridCol w:w="671"/>
        <w:gridCol w:w="653"/>
        <w:gridCol w:w="1233"/>
        <w:gridCol w:w="2270"/>
        <w:gridCol w:w="653"/>
        <w:gridCol w:w="653"/>
        <w:gridCol w:w="653"/>
        <w:gridCol w:w="653"/>
        <w:gridCol w:w="671"/>
        <w:gridCol w:w="653"/>
        <w:gridCol w:w="1233"/>
      </w:tblGrid>
      <w:tr w:rsidR="00E37713" w:rsidRPr="009E7133" w14:paraId="34162E41" w14:textId="77777777" w:rsidTr="00E37713">
        <w:tc>
          <w:tcPr>
            <w:tcW w:w="7439" w:type="dxa"/>
            <w:gridSpan w:val="8"/>
          </w:tcPr>
          <w:p w14:paraId="2FEB1501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439" w:type="dxa"/>
            <w:gridSpan w:val="8"/>
          </w:tcPr>
          <w:p w14:paraId="68919536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E37713" w:rsidRPr="009E7133" w14:paraId="2EA9667A" w14:textId="77777777" w:rsidTr="00E37713">
        <w:tc>
          <w:tcPr>
            <w:tcW w:w="2270" w:type="dxa"/>
            <w:vMerge w:val="restart"/>
          </w:tcPr>
          <w:p w14:paraId="51F95432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Компетентностная область</w:t>
            </w:r>
          </w:p>
          <w:p w14:paraId="651FE12C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5169" w:type="dxa"/>
            <w:gridSpan w:val="7"/>
          </w:tcPr>
          <w:p w14:paraId="130E3B1D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значение от количества обучающихся,</w:t>
            </w: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  <w:tc>
          <w:tcPr>
            <w:tcW w:w="2270" w:type="dxa"/>
            <w:vMerge w:val="restart"/>
          </w:tcPr>
          <w:p w14:paraId="23FE911E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 область</w:t>
            </w:r>
          </w:p>
          <w:p w14:paraId="7811ED9C" w14:textId="77777777" w:rsidR="00E37713" w:rsidRPr="009E7133" w:rsidRDefault="00E37713" w:rsidP="00E37713">
            <w:pPr>
              <w:jc w:val="center"/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№задания</w:t>
            </w:r>
          </w:p>
        </w:tc>
        <w:tc>
          <w:tcPr>
            <w:tcW w:w="5169" w:type="dxa"/>
            <w:gridSpan w:val="7"/>
          </w:tcPr>
          <w:p w14:paraId="62D55EF9" w14:textId="77777777" w:rsidR="00E37713" w:rsidRPr="009E7133" w:rsidRDefault="00E37713" w:rsidP="00E37713">
            <w:pPr>
              <w:jc w:val="center"/>
            </w:pP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значение от количества обучающихся,</w:t>
            </w:r>
            <w:r w:rsidRPr="009E7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E37713" w:rsidRPr="009E7133" w14:paraId="7AC9D6C3" w14:textId="77777777" w:rsidTr="00E37713">
        <w:tc>
          <w:tcPr>
            <w:tcW w:w="2270" w:type="dxa"/>
            <w:vMerge/>
          </w:tcPr>
          <w:p w14:paraId="33CD1F00" w14:textId="77777777" w:rsidR="00E37713" w:rsidRPr="009E7133" w:rsidRDefault="00E37713" w:rsidP="00E37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F2B242E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1517E91B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</w:tcPr>
          <w:p w14:paraId="515675F7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7CF877AB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653" w:type="dxa"/>
          </w:tcPr>
          <w:p w14:paraId="6313CD63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09BB28F5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653" w:type="dxa"/>
          </w:tcPr>
          <w:p w14:paraId="6C1EF83F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7B268065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71" w:type="dxa"/>
          </w:tcPr>
          <w:p w14:paraId="0F18981B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3D900F90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5AB1D34A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653" w:type="dxa"/>
          </w:tcPr>
          <w:p w14:paraId="73039EC3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CEE99B8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233" w:type="dxa"/>
          </w:tcPr>
          <w:p w14:paraId="188C23DA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14:paraId="53482D59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2270" w:type="dxa"/>
            <w:vMerge/>
          </w:tcPr>
          <w:p w14:paraId="1300904B" w14:textId="77777777" w:rsidR="00E37713" w:rsidRPr="009E7133" w:rsidRDefault="00E37713" w:rsidP="00E37713"/>
        </w:tc>
        <w:tc>
          <w:tcPr>
            <w:tcW w:w="653" w:type="dxa"/>
          </w:tcPr>
          <w:p w14:paraId="17AC425F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467B0809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</w:tcPr>
          <w:p w14:paraId="78F00CB8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2C24EBAD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653" w:type="dxa"/>
          </w:tcPr>
          <w:p w14:paraId="1F7216DA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76E37C36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653" w:type="dxa"/>
          </w:tcPr>
          <w:p w14:paraId="10212DB7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63E36FF7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671" w:type="dxa"/>
          </w:tcPr>
          <w:p w14:paraId="274B3032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Гим</w:t>
            </w:r>
            <w:proofErr w:type="spellEnd"/>
          </w:p>
          <w:p w14:paraId="0A84C35C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  <w:p w14:paraId="2247680E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зия</w:t>
            </w:r>
            <w:proofErr w:type="spellEnd"/>
          </w:p>
        </w:tc>
        <w:tc>
          <w:tcPr>
            <w:tcW w:w="653" w:type="dxa"/>
          </w:tcPr>
          <w:p w14:paraId="286FAD71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5F5D7F0C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233" w:type="dxa"/>
          </w:tcPr>
          <w:p w14:paraId="20DFD5A4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14:paraId="4613A5BB" w14:textId="77777777" w:rsidR="00E37713" w:rsidRPr="009E7133" w:rsidRDefault="00E37713" w:rsidP="00E37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E37713" w:rsidRPr="009E7133" w14:paraId="28C6CFA5" w14:textId="77777777" w:rsidTr="00E37713">
        <w:tc>
          <w:tcPr>
            <w:tcW w:w="2270" w:type="dxa"/>
          </w:tcPr>
          <w:p w14:paraId="2C410342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Применять</w:t>
            </w:r>
          </w:p>
          <w:p w14:paraId="5526BD96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№2, 3, 8</w:t>
            </w:r>
          </w:p>
          <w:p w14:paraId="4A440FB0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14:paraId="301AB7DE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653" w:type="dxa"/>
          </w:tcPr>
          <w:p w14:paraId="0C0C8CD4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3" w:type="dxa"/>
          </w:tcPr>
          <w:p w14:paraId="588357F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653" w:type="dxa"/>
          </w:tcPr>
          <w:p w14:paraId="41D1717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671" w:type="dxa"/>
          </w:tcPr>
          <w:p w14:paraId="1AFBF0C7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653" w:type="dxa"/>
          </w:tcPr>
          <w:p w14:paraId="4E50BB63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1233" w:type="dxa"/>
          </w:tcPr>
          <w:p w14:paraId="0A31AE8B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24"/>
                <w:highlight w:val="green"/>
              </w:rPr>
              <w:t>63</w:t>
            </w:r>
          </w:p>
        </w:tc>
        <w:tc>
          <w:tcPr>
            <w:tcW w:w="2270" w:type="dxa"/>
          </w:tcPr>
          <w:p w14:paraId="2F01BB5A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Применять</w:t>
            </w:r>
          </w:p>
          <w:p w14:paraId="707D2FA7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№1, 3, 5, 7</w:t>
            </w:r>
          </w:p>
          <w:p w14:paraId="0D9A1035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14:paraId="6A6C825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653" w:type="dxa"/>
          </w:tcPr>
          <w:p w14:paraId="5FD22411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3" w:type="dxa"/>
          </w:tcPr>
          <w:p w14:paraId="1BBE8AC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653" w:type="dxa"/>
          </w:tcPr>
          <w:p w14:paraId="77DFA027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671" w:type="dxa"/>
          </w:tcPr>
          <w:p w14:paraId="590FF586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653" w:type="dxa"/>
          </w:tcPr>
          <w:p w14:paraId="544AEB2C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1233" w:type="dxa"/>
          </w:tcPr>
          <w:p w14:paraId="592CDA7D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47</w:t>
            </w:r>
          </w:p>
        </w:tc>
      </w:tr>
      <w:tr w:rsidR="00E37713" w:rsidRPr="009E7133" w14:paraId="7CD62AAD" w14:textId="77777777" w:rsidTr="00E37713">
        <w:tc>
          <w:tcPr>
            <w:tcW w:w="2270" w:type="dxa"/>
          </w:tcPr>
          <w:p w14:paraId="6E18A56F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Формулировать</w:t>
            </w:r>
          </w:p>
          <w:p w14:paraId="428F91E1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№6</w:t>
            </w:r>
          </w:p>
        </w:tc>
        <w:tc>
          <w:tcPr>
            <w:tcW w:w="653" w:type="dxa"/>
          </w:tcPr>
          <w:p w14:paraId="18DC36A3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653" w:type="dxa"/>
          </w:tcPr>
          <w:p w14:paraId="5328D325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3" w:type="dxa"/>
          </w:tcPr>
          <w:p w14:paraId="60391AAA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88</w:t>
            </w:r>
          </w:p>
        </w:tc>
        <w:tc>
          <w:tcPr>
            <w:tcW w:w="653" w:type="dxa"/>
          </w:tcPr>
          <w:p w14:paraId="09C0DF0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1" w:type="dxa"/>
          </w:tcPr>
          <w:p w14:paraId="4737C46A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653" w:type="dxa"/>
          </w:tcPr>
          <w:p w14:paraId="4176DFF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  <w:tc>
          <w:tcPr>
            <w:tcW w:w="1233" w:type="dxa"/>
          </w:tcPr>
          <w:p w14:paraId="0879D454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24"/>
                <w:highlight w:val="green"/>
              </w:rPr>
              <w:t>70</w:t>
            </w:r>
          </w:p>
        </w:tc>
        <w:tc>
          <w:tcPr>
            <w:tcW w:w="2270" w:type="dxa"/>
          </w:tcPr>
          <w:p w14:paraId="44D361B3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Формулировать</w:t>
            </w:r>
          </w:p>
          <w:p w14:paraId="7C57D8EE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№4, 8</w:t>
            </w:r>
          </w:p>
        </w:tc>
        <w:tc>
          <w:tcPr>
            <w:tcW w:w="653" w:type="dxa"/>
          </w:tcPr>
          <w:p w14:paraId="512A188C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</w:t>
            </w:r>
          </w:p>
        </w:tc>
        <w:tc>
          <w:tcPr>
            <w:tcW w:w="653" w:type="dxa"/>
          </w:tcPr>
          <w:p w14:paraId="56FC96E3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3" w:type="dxa"/>
          </w:tcPr>
          <w:p w14:paraId="33356F1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653" w:type="dxa"/>
          </w:tcPr>
          <w:p w14:paraId="23F46D8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71" w:type="dxa"/>
          </w:tcPr>
          <w:p w14:paraId="731B6EAB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</w:t>
            </w:r>
          </w:p>
        </w:tc>
        <w:tc>
          <w:tcPr>
            <w:tcW w:w="653" w:type="dxa"/>
          </w:tcPr>
          <w:p w14:paraId="7E719C04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233" w:type="dxa"/>
          </w:tcPr>
          <w:p w14:paraId="677B3611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highlight w:val="green"/>
              </w:rPr>
              <w:t>68</w:t>
            </w:r>
          </w:p>
        </w:tc>
      </w:tr>
      <w:tr w:rsidR="00E37713" w:rsidRPr="009E7133" w14:paraId="23522526" w14:textId="77777777" w:rsidTr="00E37713">
        <w:tc>
          <w:tcPr>
            <w:tcW w:w="2270" w:type="dxa"/>
          </w:tcPr>
          <w:p w14:paraId="3F301C65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</w:rPr>
              <w:lastRenderedPageBreak/>
              <w:t>Интерпретировать</w:t>
            </w:r>
          </w:p>
          <w:p w14:paraId="33BE1799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№1, 4, 5</w:t>
            </w:r>
          </w:p>
        </w:tc>
        <w:tc>
          <w:tcPr>
            <w:tcW w:w="653" w:type="dxa"/>
          </w:tcPr>
          <w:p w14:paraId="1E9C184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653" w:type="dxa"/>
          </w:tcPr>
          <w:p w14:paraId="655D4C5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14:paraId="4747786E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3" w:type="dxa"/>
          </w:tcPr>
          <w:p w14:paraId="1BE3FC57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71" w:type="dxa"/>
          </w:tcPr>
          <w:p w14:paraId="14544A0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3" w:type="dxa"/>
          </w:tcPr>
          <w:p w14:paraId="00A9DAA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3" w:type="dxa"/>
          </w:tcPr>
          <w:p w14:paraId="0F34CFF2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24"/>
              </w:rPr>
              <w:t>46</w:t>
            </w:r>
          </w:p>
        </w:tc>
        <w:tc>
          <w:tcPr>
            <w:tcW w:w="2270" w:type="dxa"/>
          </w:tcPr>
          <w:p w14:paraId="781A23A5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color w:val="000000"/>
                <w:sz w:val="24"/>
                <w:szCs w:val="24"/>
                <w:highlight w:val="blue"/>
              </w:rPr>
              <w:t>Интерпретировать</w:t>
            </w:r>
          </w:p>
          <w:p w14:paraId="1DD66725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№6</w:t>
            </w:r>
          </w:p>
        </w:tc>
        <w:tc>
          <w:tcPr>
            <w:tcW w:w="653" w:type="dxa"/>
          </w:tcPr>
          <w:p w14:paraId="453FAB6A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653" w:type="dxa"/>
          </w:tcPr>
          <w:p w14:paraId="369FEB75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3" w:type="dxa"/>
          </w:tcPr>
          <w:p w14:paraId="3018BB33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3" w:type="dxa"/>
          </w:tcPr>
          <w:p w14:paraId="3FD2693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71" w:type="dxa"/>
          </w:tcPr>
          <w:p w14:paraId="061C67F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3" w:type="dxa"/>
          </w:tcPr>
          <w:p w14:paraId="0ACC11B2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33" w:type="dxa"/>
          </w:tcPr>
          <w:p w14:paraId="51CF9348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24"/>
              </w:rPr>
              <w:t>66</w:t>
            </w:r>
          </w:p>
        </w:tc>
      </w:tr>
      <w:tr w:rsidR="00E37713" w:rsidRPr="009E7133" w14:paraId="06E7BBCC" w14:textId="77777777" w:rsidTr="00E37713">
        <w:tc>
          <w:tcPr>
            <w:tcW w:w="2270" w:type="dxa"/>
          </w:tcPr>
          <w:p w14:paraId="2167DD2D" w14:textId="77777777" w:rsidR="00E37713" w:rsidRPr="009E7133" w:rsidRDefault="00E37713" w:rsidP="00E37713">
            <w:pPr>
              <w:spacing w:after="47" w:line="271" w:lineRule="auto"/>
            </w:pPr>
            <w:r w:rsidRPr="009E7133">
              <w:rPr>
                <w:highlight w:val="magenta"/>
              </w:rPr>
              <w:t>Рассуждать</w:t>
            </w:r>
          </w:p>
          <w:p w14:paraId="289CCDEF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№7</w:t>
            </w:r>
          </w:p>
          <w:p w14:paraId="22950159" w14:textId="77777777" w:rsidR="00E37713" w:rsidRPr="009E7133" w:rsidRDefault="00E37713" w:rsidP="00E37713">
            <w:pPr>
              <w:spacing w:after="47" w:line="271" w:lineRule="auto"/>
            </w:pPr>
          </w:p>
        </w:tc>
        <w:tc>
          <w:tcPr>
            <w:tcW w:w="653" w:type="dxa"/>
          </w:tcPr>
          <w:p w14:paraId="49617DA9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" w:type="dxa"/>
          </w:tcPr>
          <w:p w14:paraId="3C1E9D6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" w:type="dxa"/>
          </w:tcPr>
          <w:p w14:paraId="7D8A410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3" w:type="dxa"/>
          </w:tcPr>
          <w:p w14:paraId="3BEE837D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" w:type="dxa"/>
          </w:tcPr>
          <w:p w14:paraId="48371E50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14:paraId="0592BCFB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73</w:t>
            </w:r>
          </w:p>
        </w:tc>
        <w:tc>
          <w:tcPr>
            <w:tcW w:w="1233" w:type="dxa"/>
          </w:tcPr>
          <w:p w14:paraId="69689B75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24"/>
              </w:rPr>
              <w:t>37</w:t>
            </w:r>
          </w:p>
        </w:tc>
        <w:tc>
          <w:tcPr>
            <w:tcW w:w="2270" w:type="dxa"/>
          </w:tcPr>
          <w:p w14:paraId="6D20D322" w14:textId="77777777" w:rsidR="00E37713" w:rsidRPr="009E7133" w:rsidRDefault="00E37713" w:rsidP="00E37713">
            <w:pPr>
              <w:spacing w:after="47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Рассуждать</w:t>
            </w:r>
          </w:p>
          <w:p w14:paraId="1F50B451" w14:textId="77777777" w:rsidR="00E37713" w:rsidRPr="009E7133" w:rsidRDefault="00E37713" w:rsidP="00E3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Задания №2</w:t>
            </w:r>
          </w:p>
          <w:p w14:paraId="76224FBB" w14:textId="77777777" w:rsidR="00E37713" w:rsidRPr="009E7133" w:rsidRDefault="00E37713" w:rsidP="00E37713">
            <w:pPr>
              <w:spacing w:after="47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14:paraId="1D599DA4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" w:type="dxa"/>
          </w:tcPr>
          <w:p w14:paraId="120154DA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3" w:type="dxa"/>
          </w:tcPr>
          <w:p w14:paraId="5820F27B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3" w:type="dxa"/>
          </w:tcPr>
          <w:p w14:paraId="030336D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1" w:type="dxa"/>
          </w:tcPr>
          <w:p w14:paraId="2D5CC8DA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3" w:type="dxa"/>
          </w:tcPr>
          <w:p w14:paraId="5B9223BF" w14:textId="77777777" w:rsidR="00E37713" w:rsidRPr="009E7133" w:rsidRDefault="00E37713" w:rsidP="00E3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233" w:type="dxa"/>
          </w:tcPr>
          <w:p w14:paraId="10722AFC" w14:textId="77777777" w:rsidR="00E37713" w:rsidRPr="009E7133" w:rsidRDefault="00E37713" w:rsidP="00E377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7133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</w:tr>
    </w:tbl>
    <w:p w14:paraId="271730D4" w14:textId="77777777" w:rsidR="00EA2643" w:rsidRDefault="00EA2643" w:rsidP="002842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982B6" w14:textId="77777777" w:rsidR="009E7133" w:rsidRPr="009E7133" w:rsidRDefault="009E7133" w:rsidP="009E7133"/>
    <w:p w14:paraId="41D83F82" w14:textId="77777777" w:rsidR="009E7133" w:rsidRPr="009E7133" w:rsidRDefault="009E7133" w:rsidP="009E7133">
      <w:pPr>
        <w:rPr>
          <w:b/>
        </w:rPr>
      </w:pPr>
      <w:r w:rsidRPr="009E7133">
        <w:rPr>
          <w:b/>
        </w:rPr>
        <w:br w:type="page"/>
      </w:r>
    </w:p>
    <w:p w14:paraId="20092B54" w14:textId="77777777" w:rsidR="002E6C8F" w:rsidRPr="006D4E9F" w:rsidRDefault="002E6C8F" w:rsidP="002E6C8F">
      <w:pPr>
        <w:pStyle w:val="Default"/>
        <w:numPr>
          <w:ilvl w:val="0"/>
          <w:numId w:val="1"/>
        </w:numPr>
        <w:tabs>
          <w:tab w:val="left" w:pos="176"/>
        </w:tabs>
        <w:rPr>
          <w:color w:val="FF0000"/>
        </w:rPr>
      </w:pPr>
      <w:r w:rsidRPr="001D4431">
        <w:rPr>
          <w:b/>
          <w:color w:val="auto"/>
        </w:rPr>
        <w:lastRenderedPageBreak/>
        <w:t xml:space="preserve">Выводы по результатам диагностической работы: </w:t>
      </w:r>
    </w:p>
    <w:p w14:paraId="1AD00BD6" w14:textId="604F7D2A" w:rsidR="002E6C8F" w:rsidRDefault="002E6C8F" w:rsidP="002E6C8F">
      <w:pPr>
        <w:pStyle w:val="Default"/>
        <w:tabs>
          <w:tab w:val="left" w:pos="176"/>
        </w:tabs>
        <w:ind w:firstLine="567"/>
        <w:jc w:val="both"/>
      </w:pPr>
      <w:r w:rsidRPr="006F767C">
        <w:t>Результаты выполнения диагностической работы показывают, что наиболее успешно учащиеся справляются с заданиями, проверяющими</w:t>
      </w:r>
      <w:r>
        <w:t xml:space="preserve"> компетенцию интерпретировать:  умение</w:t>
      </w:r>
      <w:r w:rsidR="00E37713">
        <w:t xml:space="preserve"> </w:t>
      </w:r>
      <w:r>
        <w:t xml:space="preserve">чтения, понимания графика движения автомобиля;  интерпретация результата анализа графика; </w:t>
      </w:r>
      <w:r w:rsidRPr="006D4E9F">
        <w:rPr>
          <w:color w:val="auto"/>
        </w:rPr>
        <w:t>реальные расчёты</w:t>
      </w:r>
      <w:r w:rsidR="00E37713">
        <w:rPr>
          <w:color w:val="auto"/>
        </w:rPr>
        <w:t xml:space="preserve"> </w:t>
      </w:r>
      <w:r w:rsidRPr="006D4E9F">
        <w:rPr>
          <w:color w:val="auto"/>
        </w:rPr>
        <w:t>вычисление площади равнобедренного треугольника; вычисление площади трапеции</w:t>
      </w:r>
      <w:r>
        <w:rPr>
          <w:color w:val="auto"/>
        </w:rPr>
        <w:t>.</w:t>
      </w:r>
    </w:p>
    <w:p w14:paraId="3A62CDCF" w14:textId="77777777" w:rsidR="002E6C8F" w:rsidRDefault="002E6C8F" w:rsidP="002E6C8F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lang w:eastAsia="ru-RU"/>
        </w:rPr>
      </w:pPr>
      <w:r w:rsidRPr="006F767C">
        <w:rPr>
          <w:rFonts w:eastAsia="Times New Roman"/>
          <w:color w:val="000000"/>
          <w:lang w:eastAsia="ru-RU"/>
        </w:rPr>
        <w:t xml:space="preserve">По итогам диагностики отмечаются дефициты в выполнении заданий, требующих применять </w:t>
      </w:r>
      <w:r>
        <w:rPr>
          <w:rFonts w:eastAsia="Times New Roman"/>
          <w:color w:val="000000"/>
          <w:lang w:eastAsia="ru-RU"/>
        </w:rPr>
        <w:t>компетенции  и применять.</w:t>
      </w:r>
      <w:r w:rsidRPr="006F767C">
        <w:rPr>
          <w:rFonts w:eastAsia="Times New Roman"/>
          <w:color w:val="000000"/>
          <w:lang w:eastAsia="ru-RU"/>
        </w:rPr>
        <w:t xml:space="preserve">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</w:t>
      </w:r>
    </w:p>
    <w:p w14:paraId="7B7E5975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Продолжить работу по формированию математической грамотности у учащихся:</w:t>
      </w:r>
    </w:p>
    <w:p w14:paraId="393AE6D9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в вопросе формирования математических понятий и умений:</w:t>
      </w:r>
    </w:p>
    <w:p w14:paraId="23B6EABA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обучая алгоритмам вычисления, удерживать фокус внимания на рациональности вычислений;</w:t>
      </w:r>
    </w:p>
    <w:p w14:paraId="3B579785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показывать ученикам значимость освоения вычислительных умений;</w:t>
      </w:r>
    </w:p>
    <w:p w14:paraId="2A5C9AC4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систематически отводить время на уроке для устного счета;</w:t>
      </w:r>
    </w:p>
    <w:p w14:paraId="3DAA15B0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предлагать вычислительные примеры, которые можно решить разными способами,</w:t>
      </w:r>
    </w:p>
    <w:p w14:paraId="410EDB87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 xml:space="preserve">обсуждать с учениками разные способы решения одного задания и их </w:t>
      </w:r>
      <w:proofErr w:type="spellStart"/>
      <w:r w:rsidRPr="00842918">
        <w:rPr>
          <w:rFonts w:eastAsia="Times New Roman"/>
          <w:color w:val="000000"/>
          <w:sz w:val="23"/>
          <w:szCs w:val="23"/>
          <w:lang w:eastAsia="ru-RU"/>
        </w:rPr>
        <w:t>уместность</w:t>
      </w:r>
      <w:proofErr w:type="gramStart"/>
      <w:r w:rsidRPr="00842918">
        <w:rPr>
          <w:rFonts w:eastAsia="Times New Roman"/>
          <w:color w:val="000000"/>
          <w:sz w:val="23"/>
          <w:szCs w:val="23"/>
          <w:lang w:eastAsia="ru-RU"/>
        </w:rPr>
        <w:t>,э</w:t>
      </w:r>
      <w:proofErr w:type="gramEnd"/>
      <w:r w:rsidRPr="00842918">
        <w:rPr>
          <w:rFonts w:eastAsia="Times New Roman"/>
          <w:color w:val="000000"/>
          <w:sz w:val="23"/>
          <w:szCs w:val="23"/>
          <w:lang w:eastAsia="ru-RU"/>
        </w:rPr>
        <w:t>ффективность</w:t>
      </w:r>
      <w:proofErr w:type="spellEnd"/>
      <w:r w:rsidRPr="00842918">
        <w:rPr>
          <w:rFonts w:eastAsia="Times New Roman"/>
          <w:color w:val="000000"/>
          <w:sz w:val="23"/>
          <w:szCs w:val="23"/>
          <w:lang w:eastAsia="ru-RU"/>
        </w:rPr>
        <w:t>;</w:t>
      </w:r>
    </w:p>
    <w:p w14:paraId="720894AB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-работаястождественнымипреобразованиями</w:t>
      </w:r>
      <w:proofErr w:type="gramStart"/>
      <w:r w:rsidRPr="00842918">
        <w:rPr>
          <w:rFonts w:eastAsia="Times New Roman"/>
          <w:color w:val="000000"/>
          <w:sz w:val="23"/>
          <w:szCs w:val="23"/>
          <w:lang w:eastAsia="ru-RU"/>
        </w:rPr>
        <w:t>,и</w:t>
      </w:r>
      <w:proofErr w:type="gramEnd"/>
      <w:r w:rsidRPr="00842918">
        <w:rPr>
          <w:rFonts w:eastAsia="Times New Roman"/>
          <w:color w:val="000000"/>
          <w:sz w:val="23"/>
          <w:szCs w:val="23"/>
          <w:lang w:eastAsia="ru-RU"/>
        </w:rPr>
        <w:t>спользоватьарифметический,алгебраический, геометрический материал;</w:t>
      </w:r>
    </w:p>
    <w:p w14:paraId="4E3C6107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eastAsia="Times New Roman"/>
          <w:color w:val="000000"/>
          <w:sz w:val="23"/>
          <w:szCs w:val="23"/>
          <w:lang w:eastAsia="ru-RU"/>
        </w:rPr>
        <w:t>- при решении уравнений и текстовых задач работать с моделями отношений величи</w:t>
      </w:r>
      <w:proofErr w:type="gramStart"/>
      <w:r w:rsidRPr="00842918">
        <w:rPr>
          <w:rFonts w:eastAsia="Times New Roman"/>
          <w:color w:val="000000"/>
          <w:sz w:val="23"/>
          <w:szCs w:val="23"/>
          <w:lang w:eastAsia="ru-RU"/>
        </w:rPr>
        <w:t>н(</w:t>
      </w:r>
      <w:proofErr w:type="gramEnd"/>
      <w:r w:rsidRPr="00842918">
        <w:rPr>
          <w:rFonts w:eastAsia="Times New Roman"/>
          <w:color w:val="000000"/>
          <w:sz w:val="23"/>
          <w:szCs w:val="23"/>
          <w:lang w:eastAsia="ru-RU"/>
        </w:rPr>
        <w:t>чертежи, схемы), обсуждать достоинства и недостатки каждого из способов решения;</w:t>
      </w:r>
    </w:p>
    <w:p w14:paraId="7D631B96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>У</w:t>
      </w:r>
      <w:r w:rsidRPr="00842918">
        <w:rPr>
          <w:rFonts w:eastAsia="Times New Roman"/>
          <w:color w:val="000000"/>
          <w:sz w:val="23"/>
          <w:szCs w:val="23"/>
          <w:lang w:eastAsia="ru-RU"/>
        </w:rPr>
        <w:t>силить работу по формированию умений у учащихся на повышенном уровне.</w:t>
      </w:r>
    </w:p>
    <w:p w14:paraId="5E2645B9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Спланировать коррекционную работу по устранению выявленных дефицитов.</w:t>
      </w:r>
    </w:p>
    <w:p w14:paraId="7D4DAA56" w14:textId="77777777" w:rsidR="002E6C8F" w:rsidRPr="00842918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Использовать для подготовки тренировочных работ интернет ресурс, содержащий</w:t>
      </w:r>
    </w:p>
    <w:p w14:paraId="278CA72B" w14:textId="77777777" w:rsidR="002E6C8F" w:rsidRDefault="002E6C8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банк заданий </w:t>
      </w:r>
      <w:hyperlink r:id="rId6" w:history="1">
        <w:r w:rsidR="00AF26CF" w:rsidRPr="000D4FFE">
          <w:rPr>
            <w:rStyle w:val="a4"/>
            <w:rFonts w:ascii="YS Text" w:eastAsia="Times New Roman" w:hAnsi="YS Text"/>
            <w:sz w:val="23"/>
            <w:szCs w:val="23"/>
            <w:lang w:eastAsia="ru-RU"/>
          </w:rPr>
          <w:t>https://fg.resh.edu.ru</w:t>
        </w:r>
      </w:hyperlink>
      <w:r w:rsidRPr="00842918">
        <w:rPr>
          <w:rFonts w:ascii="YS Text" w:eastAsia="Times New Roman" w:hAnsi="YS Text"/>
          <w:color w:val="000000"/>
          <w:sz w:val="23"/>
          <w:szCs w:val="23"/>
          <w:lang w:eastAsia="ru-RU"/>
        </w:rPr>
        <w:t>.</w:t>
      </w:r>
    </w:p>
    <w:p w14:paraId="59F5F543" w14:textId="77777777" w:rsidR="00AF26CF" w:rsidRPr="00424025" w:rsidRDefault="00AF26CF" w:rsidP="00AF26CF">
      <w:pPr>
        <w:pStyle w:val="Default"/>
        <w:ind w:left="-709"/>
        <w:jc w:val="both"/>
        <w:rPr>
          <w:b/>
        </w:rPr>
      </w:pPr>
      <w:r w:rsidRPr="001D4431">
        <w:rPr>
          <w:b/>
        </w:rPr>
        <w:t>Выводы:</w:t>
      </w:r>
      <w:r>
        <w:rPr>
          <w:b/>
        </w:rPr>
        <w:t xml:space="preserve"> </w:t>
      </w:r>
      <w:r w:rsidRPr="00A2597D">
        <w:t>сра</w:t>
      </w:r>
      <w:r>
        <w:t xml:space="preserve">внивая компетентностные области МГ обучающихся 7, 8, 9 классов, отмечаем положительную динамику при формировании первых трёх компетенций: </w:t>
      </w:r>
      <w:r w:rsidRPr="002F3AFB">
        <w:rPr>
          <w:b/>
        </w:rPr>
        <w:t>применять, формулировать, интерпретировать</w:t>
      </w:r>
      <w:r>
        <w:t>. В 2022 г. по сравнению с 2020 г по этим трём областям доля обучающихся, не</w:t>
      </w:r>
      <w:r w:rsidRPr="002F3AFB">
        <w:t xml:space="preserve"> справившихся с заданиями</w:t>
      </w:r>
      <w:r>
        <w:t xml:space="preserve">, снизилась на 13%, 32%, 15% соответственно. Отрицательная динамика наблюдается при формировании компетенции </w:t>
      </w:r>
      <w:r w:rsidRPr="00D45DAD">
        <w:rPr>
          <w:b/>
        </w:rPr>
        <w:t>рассуждать</w:t>
      </w:r>
      <w:r>
        <w:rPr>
          <w:b/>
        </w:rPr>
        <w:t xml:space="preserve">: </w:t>
      </w:r>
      <w:r w:rsidRPr="00D45DAD">
        <w:t>в 2021 г</w:t>
      </w:r>
      <w:r>
        <w:t xml:space="preserve"> по сравнению с 2020 г процент </w:t>
      </w:r>
      <w:proofErr w:type="spellStart"/>
      <w:r>
        <w:t>несправившихся</w:t>
      </w:r>
      <w:proofErr w:type="spellEnd"/>
      <w:r>
        <w:t xml:space="preserve"> увеличился на 14%, в 2022 г – на 26%.</w:t>
      </w:r>
      <w:r w:rsidRPr="00424025">
        <w:rPr>
          <w:color w:val="auto"/>
        </w:rPr>
        <w:t xml:space="preserve"> </w:t>
      </w:r>
      <w:r w:rsidRPr="00424025">
        <w:t>Математи</w:t>
      </w:r>
      <w:r>
        <w:t xml:space="preserve">ческая грамотность обучающихся </w:t>
      </w:r>
      <w:r w:rsidRPr="00424025">
        <w:t xml:space="preserve">сформирована на среднем </w:t>
      </w:r>
      <w:r>
        <w:t xml:space="preserve"> уровне, необходимо продолжить работу над формированием умений, развивающих компетентностную область </w:t>
      </w:r>
      <w:r w:rsidRPr="00424025">
        <w:rPr>
          <w:b/>
        </w:rPr>
        <w:t>рассуждать</w:t>
      </w:r>
      <w:r>
        <w:rPr>
          <w:b/>
        </w:rPr>
        <w:t>.</w:t>
      </w:r>
    </w:p>
    <w:p w14:paraId="4BCEE09C" w14:textId="77777777" w:rsidR="00AF26CF" w:rsidRPr="00AF26CF" w:rsidRDefault="00AF26CF" w:rsidP="00AF26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6CF">
        <w:rPr>
          <w:rFonts w:ascii="Times New Roman" w:eastAsia="Calibri" w:hAnsi="Times New Roman" w:cs="Times New Roman"/>
          <w:b/>
          <w:sz w:val="24"/>
          <w:szCs w:val="24"/>
        </w:rPr>
        <w:t xml:space="preserve">Выводы по результатам диагностической работы: </w:t>
      </w:r>
    </w:p>
    <w:p w14:paraId="5A8B8F45" w14:textId="77777777" w:rsidR="00AF26CF" w:rsidRPr="00AF26CF" w:rsidRDefault="00AF26CF" w:rsidP="00AF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выполнения диагностической работы показывают, что 59% обучающихся не справились с диагностической работой и показали низкий уровень математической грамотности и нуждаются в специальной помощи по развитию таковых умений. Этот показатель все же является положительной динамикой, так как в прошлом году доля не справившихся составляла 67%.</w:t>
      </w:r>
    </w:p>
    <w:p w14:paraId="370438A9" w14:textId="77777777" w:rsidR="00AF26CF" w:rsidRPr="00AF26CF" w:rsidRDefault="00AF26CF" w:rsidP="00AF26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 </w:t>
      </w:r>
      <w:r w:rsidRPr="00AF26CF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недостаточно освоенным</w:t>
      </w:r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математическими умениям по результатам данной диагностики относятся умения:</w:t>
      </w:r>
      <w:r w:rsidRPr="00AF26CF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</w:p>
    <w:p w14:paraId="37FE8921" w14:textId="77777777" w:rsidR="00AF26CF" w:rsidRPr="00AF26CF" w:rsidRDefault="00AF26CF" w:rsidP="00AF26CF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F26C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 алгоритм построения; производить вычисления по формуле (задание № 5) в</w:t>
      </w:r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компетентностной области </w:t>
      </w:r>
      <w:r w:rsidRPr="00AF26CF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применять</w:t>
      </w:r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 (не справились 57, % </w:t>
      </w:r>
      <w:proofErr w:type="gramStart"/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>обучающихся</w:t>
      </w:r>
      <w:proofErr w:type="gramEnd"/>
      <w:r w:rsidRPr="00AF26CF">
        <w:rPr>
          <w:rFonts w:ascii="Times New Roman" w:eastAsia="Calibri" w:hAnsi="Times New Roman" w:cs="Times New Roman"/>
          <w:color w:val="000000"/>
          <w:sz w:val="24"/>
          <w:szCs w:val="28"/>
        </w:rPr>
        <w:t>)</w:t>
      </w:r>
    </w:p>
    <w:p w14:paraId="3ADF99BF" w14:textId="77777777" w:rsidR="00AF26CF" w:rsidRPr="00AF26CF" w:rsidRDefault="00AF26CF" w:rsidP="00AF26CF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CF">
        <w:rPr>
          <w:rFonts w:ascii="Times New Roman" w:eastAsia="Calibri" w:hAnsi="Times New Roman" w:cs="Times New Roman"/>
          <w:sz w:val="24"/>
          <w:szCs w:val="24"/>
        </w:rPr>
        <w:t xml:space="preserve">Выполнять алгоритм построения, основанный на равенстве треугольников (задание № 4) в компетентностной области </w:t>
      </w:r>
      <w:r w:rsidRPr="00AF26CF">
        <w:rPr>
          <w:rFonts w:ascii="Times New Roman" w:eastAsia="Calibri" w:hAnsi="Times New Roman" w:cs="Times New Roman"/>
          <w:b/>
          <w:i/>
          <w:sz w:val="24"/>
          <w:szCs w:val="24"/>
        </w:rPr>
        <w:t>формулировать</w:t>
      </w:r>
      <w:r w:rsidRPr="00AF26CF">
        <w:rPr>
          <w:rFonts w:ascii="Times New Roman" w:eastAsia="Calibri" w:hAnsi="Times New Roman" w:cs="Times New Roman"/>
          <w:sz w:val="24"/>
          <w:szCs w:val="24"/>
        </w:rPr>
        <w:t xml:space="preserve"> (не справились 57% обучающихся) </w:t>
      </w:r>
    </w:p>
    <w:p w14:paraId="2F19F74D" w14:textId="77777777" w:rsidR="00AF26CF" w:rsidRPr="00AF26CF" w:rsidRDefault="00AF26CF" w:rsidP="00AF2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реестре затруднений обучающихся выявлены следующие </w:t>
      </w:r>
      <w:r w:rsidRPr="00AF26CF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проблемные зоны</w:t>
      </w: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сформированности математической грамотности и отдельных видов математических  умений:</w:t>
      </w:r>
    </w:p>
    <w:p w14:paraId="12310052" w14:textId="77777777" w:rsidR="00AF26CF" w:rsidRPr="00AF26CF" w:rsidRDefault="00AF26CF" w:rsidP="00AF26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компетентностной области </w:t>
      </w:r>
      <w:r w:rsidRPr="00AF26CF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формулировать</w:t>
      </w: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(не справились 86% </w:t>
      </w:r>
      <w:proofErr w:type="gramStart"/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 </w:t>
      </w:r>
      <w:r w:rsidRPr="00AF2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вычисление минимального времени движения автомобиля с выбранной скоростью в реальной жизни (задание №3) </w:t>
      </w:r>
    </w:p>
    <w:p w14:paraId="7CE5F7DE" w14:textId="77777777" w:rsidR="00AF26CF" w:rsidRPr="00AF26CF" w:rsidRDefault="00AF26CF" w:rsidP="00AF26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компетентностной области </w:t>
      </w:r>
      <w:r w:rsidRPr="00AF26CF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применять</w:t>
      </w: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(не справились 90% обучающихся)  </w:t>
      </w:r>
    </w:p>
    <w:p w14:paraId="1D62F4B0" w14:textId="77777777" w:rsidR="00AF26CF" w:rsidRPr="00AF26CF" w:rsidRDefault="00AF26CF" w:rsidP="00AF26CF">
      <w:p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6CF">
        <w:rPr>
          <w:rFonts w:ascii="Times New Roman" w:eastAsia="Calibri" w:hAnsi="Times New Roman" w:cs="Times New Roman"/>
          <w:sz w:val="24"/>
          <w:szCs w:val="24"/>
        </w:rPr>
        <w:t>нахождение процента от числа; вычисление площади прямоугольника; реальные расчёты (задание № 8)</w:t>
      </w:r>
    </w:p>
    <w:p w14:paraId="7851D349" w14:textId="77777777" w:rsidR="00AF26CF" w:rsidRPr="00AF26CF" w:rsidRDefault="00AF26CF" w:rsidP="00AF26CF">
      <w:pPr>
        <w:numPr>
          <w:ilvl w:val="0"/>
          <w:numId w:val="4"/>
        </w:num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компетентностной области </w:t>
      </w:r>
      <w:r w:rsidRPr="00AF26CF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рассуждать</w:t>
      </w:r>
      <w:r w:rsidRPr="00AF26CF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  <w:t xml:space="preserve"> </w:t>
      </w:r>
      <w:r w:rsidRPr="00AF26C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(не справились 92% обучающихся)  </w:t>
      </w:r>
    </w:p>
    <w:p w14:paraId="76237F11" w14:textId="77777777" w:rsidR="00AF26CF" w:rsidRPr="00AF26CF" w:rsidRDefault="00AF26CF" w:rsidP="00AF26CF">
      <w:p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адаптировать приведенный алгоритм построения, </w:t>
      </w:r>
      <w:r w:rsidRPr="00AF26CF">
        <w:rPr>
          <w:rFonts w:ascii="Times New Roman" w:eastAsia="Calibri" w:hAnsi="Times New Roman" w:cs="Times New Roman"/>
          <w:b/>
          <w:color w:val="000000"/>
          <w:sz w:val="2"/>
          <w:szCs w:val="24"/>
        </w:rPr>
        <w:t xml:space="preserve"> </w:t>
      </w:r>
      <w:r w:rsidRPr="00AF26CF">
        <w:rPr>
          <w:rFonts w:ascii="Times New Roman" w:eastAsia="Calibri" w:hAnsi="Times New Roman" w:cs="Times New Roman"/>
          <w:color w:val="000000"/>
          <w:sz w:val="24"/>
          <w:szCs w:val="24"/>
        </w:rPr>
        <w:t>следуя условиям (задание № 6)</w:t>
      </w:r>
    </w:p>
    <w:p w14:paraId="4ACEB094" w14:textId="77777777" w:rsidR="00AF26CF" w:rsidRPr="00AF26CF" w:rsidRDefault="00AF26CF" w:rsidP="00AF26CF">
      <w:pPr>
        <w:tabs>
          <w:tab w:val="left" w:pos="34"/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58EBEA" w14:textId="77777777" w:rsidR="00AF26CF" w:rsidRPr="00AF26CF" w:rsidRDefault="00AF26CF" w:rsidP="00AF26C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color w:val="000000"/>
          <w:sz w:val="23"/>
          <w:szCs w:val="23"/>
          <w:lang w:eastAsia="ru-RU"/>
        </w:rPr>
      </w:pPr>
      <w:r w:rsidRPr="00AF26CF">
        <w:rPr>
          <w:rFonts w:eastAsia="Times New Roman"/>
          <w:b/>
          <w:color w:val="000000"/>
          <w:sz w:val="23"/>
          <w:szCs w:val="23"/>
          <w:lang w:eastAsia="ru-RU"/>
        </w:rPr>
        <w:t xml:space="preserve">Выводы по результатам диагностической работы: </w:t>
      </w:r>
    </w:p>
    <w:p w14:paraId="4C5F5B28" w14:textId="77777777" w:rsidR="00AF26CF" w:rsidRPr="00AF26CF" w:rsidRDefault="00AF26CF" w:rsidP="00AF26C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AF26CF">
        <w:rPr>
          <w:rFonts w:eastAsia="Times New Roman"/>
          <w:color w:val="000000"/>
          <w:sz w:val="23"/>
          <w:szCs w:val="23"/>
          <w:lang w:eastAsia="ru-RU"/>
        </w:rPr>
        <w:t>Анализ выполнения диагностической работы по проверяемым компетенциям математической грамотности показал, что наибольшие затруднения вызвали задания, связанные с формулировкой, рассуждением и применением знаний для получения выводов. С заданиями, требующих интерпретации справилась большая часть обучающихся 9 классов, принимавших участие в диагностике.</w:t>
      </w:r>
    </w:p>
    <w:p w14:paraId="0138DDC9" w14:textId="77777777" w:rsidR="00AF26CF" w:rsidRPr="00AF26CF" w:rsidRDefault="00AF26CF" w:rsidP="002E6C8F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14:paraId="7DA109BC" w14:textId="77777777" w:rsidR="00AF26CF" w:rsidRDefault="00AF26C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b/>
          <w:i/>
        </w:rPr>
        <w:br w:type="page"/>
      </w:r>
    </w:p>
    <w:p w14:paraId="25FF6776" w14:textId="77777777" w:rsidR="00D67638" w:rsidRPr="00656B0D" w:rsidRDefault="00D67638" w:rsidP="00D67638">
      <w:pPr>
        <w:pStyle w:val="Default"/>
        <w:jc w:val="center"/>
        <w:rPr>
          <w:b/>
          <w:i/>
        </w:rPr>
      </w:pPr>
      <w:r w:rsidRPr="00656B0D">
        <w:rPr>
          <w:b/>
          <w:i/>
        </w:rPr>
        <w:lastRenderedPageBreak/>
        <w:t>Сравнительный анализ по компетентностным областям за 2020, 2021 и 2022 года в динамике</w:t>
      </w:r>
    </w:p>
    <w:p w14:paraId="5230EA1D" w14:textId="77777777" w:rsidR="00D67638" w:rsidRDefault="00D67638" w:rsidP="00D67638">
      <w:pPr>
        <w:pStyle w:val="Default"/>
        <w:jc w:val="both"/>
        <w:rPr>
          <w:color w:val="auto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7638" w14:paraId="638E4C2E" w14:textId="77777777" w:rsidTr="005B0FBA">
        <w:tc>
          <w:tcPr>
            <w:tcW w:w="3640" w:type="dxa"/>
            <w:vMerge w:val="restart"/>
          </w:tcPr>
          <w:p w14:paraId="399248FB" w14:textId="77777777" w:rsidR="00D67638" w:rsidRPr="00656B0D" w:rsidRDefault="00D67638" w:rsidP="005B0FBA">
            <w:pPr>
              <w:pStyle w:val="Default"/>
              <w:jc w:val="both"/>
              <w:rPr>
                <w:b/>
                <w:color w:val="auto"/>
              </w:rPr>
            </w:pPr>
            <w:r w:rsidRPr="00656B0D">
              <w:rPr>
                <w:b/>
                <w:color w:val="auto"/>
              </w:rPr>
              <w:t>Компетентностная область</w:t>
            </w:r>
          </w:p>
        </w:tc>
        <w:tc>
          <w:tcPr>
            <w:tcW w:w="10920" w:type="dxa"/>
            <w:gridSpan w:val="3"/>
          </w:tcPr>
          <w:p w14:paraId="3C0694FC" w14:textId="77777777" w:rsidR="00D67638" w:rsidRPr="00656B0D" w:rsidRDefault="00D67638" w:rsidP="005B0FBA">
            <w:pPr>
              <w:pStyle w:val="Default"/>
              <w:jc w:val="center"/>
              <w:rPr>
                <w:b/>
                <w:color w:val="auto"/>
              </w:rPr>
            </w:pPr>
            <w:r w:rsidRPr="00B01128">
              <w:rPr>
                <w:b/>
              </w:rPr>
              <w:t>Среднее значение от количества обучающихся,</w:t>
            </w:r>
            <w:r w:rsidRPr="00B01128">
              <w:rPr>
                <w:b/>
              </w:rPr>
              <w:br/>
              <w:t xml:space="preserve"> НЕ справившихся с заданиями, где проявляются данная компетентностная область (%)</w:t>
            </w:r>
          </w:p>
        </w:tc>
      </w:tr>
      <w:tr w:rsidR="00D67638" w14:paraId="62EEDB22" w14:textId="77777777" w:rsidTr="005B0FBA">
        <w:tc>
          <w:tcPr>
            <w:tcW w:w="3640" w:type="dxa"/>
            <w:vMerge/>
          </w:tcPr>
          <w:p w14:paraId="650D693C" w14:textId="77777777" w:rsidR="00D67638" w:rsidRPr="00656B0D" w:rsidRDefault="00D67638" w:rsidP="005B0FBA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3640" w:type="dxa"/>
          </w:tcPr>
          <w:p w14:paraId="4E8B0B8C" w14:textId="77777777" w:rsidR="00D67638" w:rsidRPr="00656B0D" w:rsidRDefault="00D67638" w:rsidP="005B0FB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 класс 2020 год</w:t>
            </w:r>
          </w:p>
        </w:tc>
        <w:tc>
          <w:tcPr>
            <w:tcW w:w="3640" w:type="dxa"/>
          </w:tcPr>
          <w:p w14:paraId="4746D127" w14:textId="77777777" w:rsidR="00D67638" w:rsidRPr="00656B0D" w:rsidRDefault="00D67638" w:rsidP="005B0FB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 класс 2021 год</w:t>
            </w:r>
          </w:p>
        </w:tc>
        <w:tc>
          <w:tcPr>
            <w:tcW w:w="3640" w:type="dxa"/>
          </w:tcPr>
          <w:p w14:paraId="02D2901A" w14:textId="77777777" w:rsidR="00D67638" w:rsidRPr="00656B0D" w:rsidRDefault="00D67638" w:rsidP="005B0FB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 класс 2022 год</w:t>
            </w:r>
          </w:p>
        </w:tc>
      </w:tr>
      <w:tr w:rsidR="00D67638" w14:paraId="112A8A27" w14:textId="77777777" w:rsidTr="005B0FBA">
        <w:tc>
          <w:tcPr>
            <w:tcW w:w="3640" w:type="dxa"/>
          </w:tcPr>
          <w:p w14:paraId="00598F35" w14:textId="77777777" w:rsidR="00D67638" w:rsidRPr="00B01128" w:rsidRDefault="00D67638" w:rsidP="005B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Применять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54C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640" w:type="dxa"/>
          </w:tcPr>
          <w:p w14:paraId="19ECFB34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640" w:type="dxa"/>
          </w:tcPr>
          <w:p w14:paraId="336DAA49" w14:textId="77777777" w:rsidR="00D67638" w:rsidRPr="00B01128" w:rsidRDefault="00D67638" w:rsidP="005B0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67638" w14:paraId="6B92C066" w14:textId="77777777" w:rsidTr="005B0FBA">
        <w:tc>
          <w:tcPr>
            <w:tcW w:w="3640" w:type="dxa"/>
          </w:tcPr>
          <w:p w14:paraId="2802AAE9" w14:textId="77777777" w:rsidR="00D67638" w:rsidRPr="00B01128" w:rsidRDefault="00D67638" w:rsidP="005B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Формулировать</w:t>
            </w:r>
            <w:r w:rsidRPr="00B0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7956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640" w:type="dxa"/>
          </w:tcPr>
          <w:p w14:paraId="48329B6A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640" w:type="dxa"/>
          </w:tcPr>
          <w:p w14:paraId="5881186C" w14:textId="77777777" w:rsidR="00D67638" w:rsidRPr="00B01128" w:rsidRDefault="00D67638" w:rsidP="005B0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67638" w14:paraId="2DE70788" w14:textId="77777777" w:rsidTr="005B0FBA">
        <w:tc>
          <w:tcPr>
            <w:tcW w:w="3640" w:type="dxa"/>
          </w:tcPr>
          <w:p w14:paraId="77EBE8BC" w14:textId="77777777" w:rsidR="00D67638" w:rsidRPr="00B01128" w:rsidRDefault="00D67638" w:rsidP="005B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Интерпретировать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2DA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40" w:type="dxa"/>
          </w:tcPr>
          <w:p w14:paraId="7FDEE717" w14:textId="77777777" w:rsidR="00D67638" w:rsidRPr="00865AD7" w:rsidRDefault="00D67638" w:rsidP="005B0F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640" w:type="dxa"/>
          </w:tcPr>
          <w:p w14:paraId="25544BA7" w14:textId="77777777" w:rsidR="00D67638" w:rsidRPr="00B01128" w:rsidRDefault="00D67638" w:rsidP="005B0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67638" w14:paraId="03FFF64D" w14:textId="77777777" w:rsidTr="005B0FBA">
        <w:tc>
          <w:tcPr>
            <w:tcW w:w="3640" w:type="dxa"/>
          </w:tcPr>
          <w:p w14:paraId="1318B949" w14:textId="77777777" w:rsidR="00D67638" w:rsidRPr="00B01128" w:rsidRDefault="00D67638" w:rsidP="005B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2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14:paraId="3688E6EF" w14:textId="77777777" w:rsidR="00D67638" w:rsidRPr="00D67638" w:rsidRDefault="00D67638" w:rsidP="005B0FBA">
            <w:pPr>
              <w:pStyle w:val="Default"/>
              <w:jc w:val="both"/>
              <w:rPr>
                <w:b/>
                <w:color w:val="auto"/>
              </w:rPr>
            </w:pPr>
            <w:r w:rsidRPr="00D67638">
              <w:rPr>
                <w:b/>
                <w:color w:val="auto"/>
              </w:rPr>
              <w:t>37</w:t>
            </w:r>
          </w:p>
        </w:tc>
        <w:tc>
          <w:tcPr>
            <w:tcW w:w="3640" w:type="dxa"/>
          </w:tcPr>
          <w:p w14:paraId="3D102841" w14:textId="77777777" w:rsidR="00D67638" w:rsidRPr="00D67638" w:rsidRDefault="00D67638" w:rsidP="005B0FBA">
            <w:pPr>
              <w:pStyle w:val="Default"/>
              <w:jc w:val="both"/>
              <w:rPr>
                <w:b/>
                <w:color w:val="auto"/>
              </w:rPr>
            </w:pPr>
            <w:r w:rsidRPr="00D67638">
              <w:rPr>
                <w:b/>
                <w:color w:val="auto"/>
              </w:rPr>
              <w:t>48</w:t>
            </w:r>
          </w:p>
        </w:tc>
        <w:tc>
          <w:tcPr>
            <w:tcW w:w="3640" w:type="dxa"/>
          </w:tcPr>
          <w:p w14:paraId="2FE51FC1" w14:textId="77777777" w:rsidR="00D67638" w:rsidRPr="00B01128" w:rsidRDefault="00D67638" w:rsidP="005B0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0D988A85" w14:textId="77777777" w:rsidR="00D67638" w:rsidRPr="00E15DC1" w:rsidRDefault="00D67638" w:rsidP="00D67638">
      <w:pPr>
        <w:pStyle w:val="Default"/>
        <w:jc w:val="both"/>
        <w:rPr>
          <w:color w:val="auto"/>
        </w:rPr>
      </w:pPr>
    </w:p>
    <w:p w14:paraId="3006B9AE" w14:textId="77777777" w:rsidR="002E6C8F" w:rsidRDefault="002E6C8F" w:rsidP="002E6C8F">
      <w:pPr>
        <w:pStyle w:val="Default"/>
        <w:rPr>
          <w:b/>
          <w:color w:val="auto"/>
        </w:rPr>
      </w:pPr>
    </w:p>
    <w:p w14:paraId="0D0E05E1" w14:textId="77777777" w:rsidR="002E6C8F" w:rsidRPr="001D4431" w:rsidRDefault="00EA2643" w:rsidP="002E6C8F">
      <w:pPr>
        <w:pStyle w:val="Default"/>
        <w:rPr>
          <w:b/>
          <w:color w:val="auto"/>
        </w:rPr>
      </w:pPr>
      <w:bookmarkStart w:id="0" w:name="_GoBack"/>
      <w:r>
        <w:rPr>
          <w:b/>
          <w:noProof/>
          <w:color w:val="auto"/>
          <w:lang w:eastAsia="ru-RU"/>
        </w:rPr>
        <w:drawing>
          <wp:inline distT="0" distB="0" distL="0" distR="0" wp14:anchorId="36585B31" wp14:editId="76AF41B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6E044F05" w14:textId="77777777" w:rsidR="00CE250F" w:rsidRDefault="00CE250F"/>
    <w:sectPr w:rsidR="00CE250F" w:rsidSect="00284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4F416"/>
    <w:multiLevelType w:val="hybridMultilevel"/>
    <w:tmpl w:val="A0CEA0DC"/>
    <w:lvl w:ilvl="0" w:tplc="529EF278">
      <w:start w:val="1"/>
      <w:numFmt w:val="bullet"/>
      <w:lvlText w:val="•"/>
      <w:lvlJc w:val="left"/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80BE7"/>
    <w:multiLevelType w:val="hybridMultilevel"/>
    <w:tmpl w:val="4B36D4A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591C"/>
    <w:multiLevelType w:val="hybridMultilevel"/>
    <w:tmpl w:val="9600F71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5B36"/>
    <w:multiLevelType w:val="hybridMultilevel"/>
    <w:tmpl w:val="EE2809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4A"/>
    <w:rsid w:val="00084C7B"/>
    <w:rsid w:val="001430EE"/>
    <w:rsid w:val="0028424A"/>
    <w:rsid w:val="002E6C8F"/>
    <w:rsid w:val="004571B9"/>
    <w:rsid w:val="0075688A"/>
    <w:rsid w:val="008426BE"/>
    <w:rsid w:val="009E7133"/>
    <w:rsid w:val="00AF26CF"/>
    <w:rsid w:val="00CE250F"/>
    <w:rsid w:val="00D67638"/>
    <w:rsid w:val="00E37713"/>
    <w:rsid w:val="00E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D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E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E7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7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AF26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E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E7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7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AF26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</a:t>
            </a:r>
            <a:r>
              <a:rPr lang="ru-RU" baseline="0"/>
              <a:t> МГ по компетентностным областям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7кл2020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70</c:v>
                </c:pt>
                <c:pt idx="2">
                  <c:v>46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5A-4B15-B83A-B569477FC9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8кл2021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68</c:v>
                </c:pt>
                <c:pt idx="2">
                  <c:v>66</c:v>
                </c:pt>
                <c:pt idx="3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5A-4B15-B83A-B569477FC9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9кл2022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применять</c:v>
                </c:pt>
                <c:pt idx="1">
                  <c:v>формулировать</c:v>
                </c:pt>
                <c:pt idx="2">
                  <c:v>интерпретировать</c:v>
                </c:pt>
                <c:pt idx="3">
                  <c:v>рассуждать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55</c:v>
                </c:pt>
                <c:pt idx="2">
                  <c:v>26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5A-4B15-B83A-B569477FC9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560768"/>
        <c:axId val="90566656"/>
      </c:barChart>
      <c:catAx>
        <c:axId val="9056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66656"/>
        <c:crosses val="autoZero"/>
        <c:auto val="1"/>
        <c:lblAlgn val="ctr"/>
        <c:lblOffset val="100"/>
        <c:noMultiLvlLbl val="0"/>
      </c:catAx>
      <c:valAx>
        <c:axId val="9056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6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dcterms:created xsi:type="dcterms:W3CDTF">2022-05-30T06:17:00Z</dcterms:created>
  <dcterms:modified xsi:type="dcterms:W3CDTF">2022-06-15T11:18:00Z</dcterms:modified>
</cp:coreProperties>
</file>